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word/webSettings.xml" ContentType="application/vnd.openxmlformats-officedocument.wordprocessingml.webSetting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6.xml" ContentType="application/vnd.openxmlformats-officedocument.customXmlProperties+xml"/>
  <Override PartName="/word/commentsIds.xml" ContentType="application/vnd.openxmlformats-officedocument.wordprocessingml.commentsIds+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4D25" w:rsidRDefault="00394D25" w:rsidP="00394D25">
      <w:pPr>
        <w:spacing w:before="120"/>
        <w:jc w:val="center"/>
        <w:rPr>
          <w:rFonts w:ascii="Verdana" w:hAnsi="Verdana"/>
        </w:rPr>
      </w:pPr>
      <w:r>
        <w:rPr>
          <w:rFonts w:ascii="Verdana" w:hAnsi="Verdana"/>
          <w:noProof/>
          <w:lang w:val="en-GB" w:eastAsia="en-GB"/>
        </w:rPr>
        <w:drawing>
          <wp:inline distT="0" distB="0" distL="0" distR="0" wp14:anchorId="1F3E49CF" wp14:editId="33A23F53">
            <wp:extent cx="1447800" cy="1114425"/>
            <wp:effectExtent l="0" t="0" r="0" b="9525"/>
            <wp:docPr id="8" name="Picture 8" descr="eiopa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iopa_small"/>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47800" cy="1114425"/>
                    </a:xfrm>
                    <a:prstGeom prst="rect">
                      <a:avLst/>
                    </a:prstGeom>
                    <a:noFill/>
                    <a:ln>
                      <a:noFill/>
                    </a:ln>
                  </pic:spPr>
                </pic:pic>
              </a:graphicData>
            </a:graphic>
          </wp:inline>
        </w:drawing>
      </w:r>
    </w:p>
    <w:p w:rsidR="00394D25" w:rsidRPr="005D495C" w:rsidRDefault="00394D25" w:rsidP="007853BA">
      <w:pPr>
        <w:spacing w:before="120"/>
        <w:jc w:val="right"/>
        <w:rPr>
          <w:rFonts w:ascii="Verdana" w:hAnsi="Verdana"/>
          <w:sz w:val="20"/>
          <w:lang w:val="en-GB"/>
        </w:rPr>
      </w:pPr>
      <w:r w:rsidRPr="005D495C">
        <w:rPr>
          <w:rFonts w:ascii="Verdana" w:hAnsi="Verdana"/>
          <w:sz w:val="20"/>
          <w:lang w:val="en-GB"/>
        </w:rPr>
        <w:t>EIOPA-</w:t>
      </w:r>
      <w:r w:rsidRPr="005D495C">
        <w:rPr>
          <w:rFonts w:ascii="Verdana" w:hAnsi="Verdana"/>
          <w:sz w:val="20"/>
          <w:szCs w:val="20"/>
          <w:lang w:val="en-GB"/>
        </w:rPr>
        <w:t>1</w:t>
      </w:r>
      <w:r w:rsidR="00E349E6" w:rsidRPr="005D495C">
        <w:rPr>
          <w:rFonts w:ascii="Verdana" w:hAnsi="Verdana"/>
          <w:sz w:val="20"/>
          <w:szCs w:val="20"/>
          <w:lang w:val="en-GB"/>
        </w:rPr>
        <w:t>7</w:t>
      </w:r>
      <w:r w:rsidRPr="005D495C">
        <w:rPr>
          <w:rFonts w:ascii="Verdana" w:hAnsi="Verdana"/>
          <w:sz w:val="20"/>
          <w:lang w:val="en-GB"/>
        </w:rPr>
        <w:t>-</w:t>
      </w:r>
      <w:r w:rsidR="005A5C69" w:rsidRPr="005D495C">
        <w:rPr>
          <w:rFonts w:ascii="Verdana" w:hAnsi="Verdana"/>
          <w:sz w:val="20"/>
          <w:lang w:val="en-GB"/>
        </w:rPr>
        <w:t>403</w:t>
      </w:r>
      <w:r w:rsidR="00AF1CE3">
        <w:rPr>
          <w:rFonts w:ascii="Verdana" w:hAnsi="Verdana"/>
          <w:sz w:val="20"/>
          <w:lang w:val="en-GB"/>
        </w:rPr>
        <w:t>_</w:t>
      </w:r>
      <w:r w:rsidR="00AF1CE3" w:rsidRPr="00BB09C7">
        <w:rPr>
          <w:rFonts w:ascii="Verdana" w:hAnsi="Verdana"/>
          <w:color w:val="FF0000"/>
          <w:sz w:val="20"/>
          <w:lang w:val="en-GB"/>
        </w:rPr>
        <w:t>rev</w:t>
      </w:r>
    </w:p>
    <w:p w:rsidR="00394D25" w:rsidRDefault="003E2030" w:rsidP="00BB09C7">
      <w:pPr>
        <w:spacing w:before="120" w:after="0"/>
        <w:jc w:val="right"/>
        <w:rPr>
          <w:rFonts w:ascii="Verdana" w:hAnsi="Verdana"/>
          <w:sz w:val="20"/>
          <w:szCs w:val="20"/>
          <w:lang w:val="en-GB"/>
        </w:rPr>
      </w:pPr>
      <w:r>
        <w:rPr>
          <w:rFonts w:ascii="Verdana" w:hAnsi="Verdana"/>
          <w:sz w:val="20"/>
          <w:szCs w:val="20"/>
          <w:lang w:val="en-GB"/>
        </w:rPr>
        <w:t>20</w:t>
      </w:r>
      <w:r w:rsidR="00394D25" w:rsidRPr="00E349E6">
        <w:rPr>
          <w:rFonts w:ascii="Verdana" w:hAnsi="Verdana"/>
          <w:sz w:val="20"/>
          <w:szCs w:val="20"/>
          <w:lang w:val="en-GB"/>
        </w:rPr>
        <w:t xml:space="preserve"> </w:t>
      </w:r>
      <w:r w:rsidR="003C65DB">
        <w:rPr>
          <w:rFonts w:ascii="Verdana" w:hAnsi="Verdana"/>
          <w:sz w:val="20"/>
          <w:szCs w:val="20"/>
          <w:lang w:val="en-GB"/>
        </w:rPr>
        <w:t>March</w:t>
      </w:r>
      <w:r w:rsidR="00DA51DB" w:rsidRPr="00E349E6">
        <w:rPr>
          <w:rFonts w:ascii="Verdana" w:hAnsi="Verdana"/>
          <w:sz w:val="20"/>
          <w:szCs w:val="20"/>
          <w:lang w:val="en-GB"/>
        </w:rPr>
        <w:t xml:space="preserve"> </w:t>
      </w:r>
      <w:r w:rsidR="00394D25" w:rsidRPr="00E349E6">
        <w:rPr>
          <w:rFonts w:ascii="Verdana" w:hAnsi="Verdana"/>
          <w:sz w:val="20"/>
          <w:szCs w:val="20"/>
          <w:lang w:val="en-GB"/>
        </w:rPr>
        <w:t>201</w:t>
      </w:r>
      <w:r w:rsidR="00A87C60">
        <w:rPr>
          <w:rFonts w:ascii="Verdana" w:hAnsi="Verdana"/>
          <w:sz w:val="20"/>
          <w:szCs w:val="20"/>
          <w:lang w:val="en-GB"/>
        </w:rPr>
        <w:t>8</w:t>
      </w:r>
    </w:p>
    <w:p w:rsidR="00AF1CE3" w:rsidRPr="00BB09C7" w:rsidRDefault="00AF1CE3" w:rsidP="00BB09C7">
      <w:pPr>
        <w:jc w:val="right"/>
        <w:rPr>
          <w:rFonts w:ascii="Verdana" w:hAnsi="Verdana"/>
          <w:color w:val="FF0000"/>
          <w:sz w:val="20"/>
          <w:lang w:val="en-GB"/>
        </w:rPr>
      </w:pPr>
      <w:r w:rsidRPr="00BB09C7">
        <w:rPr>
          <w:rFonts w:ascii="Verdana" w:hAnsi="Verdana"/>
          <w:color w:val="FF0000"/>
          <w:sz w:val="20"/>
          <w:szCs w:val="20"/>
          <w:lang w:val="en-GB"/>
        </w:rPr>
        <w:t>05 Ju</w:t>
      </w:r>
      <w:r w:rsidR="0036619B" w:rsidRPr="00BB09C7">
        <w:rPr>
          <w:rFonts w:ascii="Verdana" w:hAnsi="Verdana"/>
          <w:color w:val="FF0000"/>
          <w:sz w:val="20"/>
          <w:szCs w:val="20"/>
          <w:lang w:val="en-GB"/>
        </w:rPr>
        <w:t>ly</w:t>
      </w:r>
      <w:r w:rsidRPr="00BB09C7">
        <w:rPr>
          <w:rFonts w:ascii="Verdana" w:hAnsi="Verdana"/>
          <w:color w:val="FF0000"/>
          <w:sz w:val="20"/>
          <w:szCs w:val="20"/>
          <w:lang w:val="en-GB"/>
        </w:rPr>
        <w:t xml:space="preserve"> 2018</w:t>
      </w:r>
    </w:p>
    <w:p w:rsidR="005E781C" w:rsidRDefault="005E781C" w:rsidP="00394D25">
      <w:pPr>
        <w:jc w:val="center"/>
        <w:rPr>
          <w:b/>
          <w:sz w:val="28"/>
          <w:szCs w:val="28"/>
          <w:lang w:val="en-US"/>
        </w:rPr>
      </w:pPr>
    </w:p>
    <w:p w:rsidR="00DA51DB" w:rsidRPr="00DA51DB" w:rsidRDefault="00DA51DB" w:rsidP="00394D25">
      <w:pPr>
        <w:jc w:val="center"/>
        <w:rPr>
          <w:b/>
          <w:sz w:val="28"/>
          <w:szCs w:val="28"/>
          <w:lang w:val="en-US"/>
        </w:rPr>
      </w:pPr>
      <w:r w:rsidRPr="00DA51DB">
        <w:rPr>
          <w:b/>
          <w:sz w:val="28"/>
          <w:szCs w:val="28"/>
          <w:lang w:val="en-US"/>
        </w:rPr>
        <w:t>EIOPA Explanatory notes on reporting templates</w:t>
      </w:r>
    </w:p>
    <w:p w:rsidR="00394D25" w:rsidRPr="00FF007F" w:rsidRDefault="00394D25" w:rsidP="00394D25">
      <w:pPr>
        <w:jc w:val="center"/>
        <w:rPr>
          <w:b/>
          <w:sz w:val="28"/>
          <w:szCs w:val="28"/>
          <w:lang w:val="en-US"/>
        </w:rPr>
      </w:pPr>
      <w:r w:rsidRPr="00165C0F">
        <w:rPr>
          <w:b/>
          <w:sz w:val="28"/>
          <w:szCs w:val="28"/>
          <w:lang w:val="en-US"/>
        </w:rPr>
        <w:t>Variation Analysis</w:t>
      </w:r>
      <w:r>
        <w:rPr>
          <w:b/>
          <w:sz w:val="28"/>
          <w:szCs w:val="28"/>
          <w:lang w:val="en-US"/>
        </w:rPr>
        <w:t xml:space="preserve"> templates</w:t>
      </w:r>
      <w:r w:rsidRPr="00165C0F">
        <w:rPr>
          <w:b/>
          <w:sz w:val="28"/>
          <w:szCs w:val="28"/>
          <w:lang w:val="en-US"/>
        </w:rPr>
        <w:t xml:space="preserve"> </w:t>
      </w:r>
    </w:p>
    <w:p w:rsidR="00394D25" w:rsidRPr="008F4117" w:rsidRDefault="00394D25" w:rsidP="00394D25">
      <w:pPr>
        <w:rPr>
          <w:lang w:val="en-US"/>
        </w:rPr>
      </w:pPr>
    </w:p>
    <w:p w:rsidR="00443628" w:rsidRDefault="00443628" w:rsidP="00B31F00">
      <w:pPr>
        <w:pStyle w:val="ListParagraph"/>
        <w:numPr>
          <w:ilvl w:val="0"/>
          <w:numId w:val="9"/>
        </w:numPr>
        <w:ind w:left="709" w:hanging="709"/>
        <w:jc w:val="both"/>
        <w:rPr>
          <w:rFonts w:ascii="Verdana" w:hAnsi="Verdana"/>
          <w:lang w:val="en-US"/>
        </w:rPr>
      </w:pPr>
      <w:r>
        <w:rPr>
          <w:rFonts w:ascii="Verdana" w:hAnsi="Verdana"/>
          <w:lang w:val="en-US"/>
        </w:rPr>
        <w:t>EIOPA has received in the last months a number of Q&amp;A addressing the reporting of Variation Analysis templates (S.29.01 to S.29.04). The Q&amp;A</w:t>
      </w:r>
      <w:r w:rsidR="005A4847">
        <w:rPr>
          <w:rFonts w:ascii="Verdana" w:hAnsi="Verdana"/>
          <w:lang w:val="en-US"/>
        </w:rPr>
        <w:t xml:space="preserve"> </w:t>
      </w:r>
      <w:r>
        <w:rPr>
          <w:rFonts w:ascii="Verdana" w:hAnsi="Verdana"/>
          <w:lang w:val="en-US"/>
        </w:rPr>
        <w:t xml:space="preserve">received covered most of the templates and put into question how the templates are to be interpreted in many areas. For this reason EIOPA has choosen to address the Q&amp;A received in a more structured way and provide step-by-step explanations on the templates at stake. </w:t>
      </w:r>
    </w:p>
    <w:p w:rsidR="00443628" w:rsidRDefault="00443628" w:rsidP="005A4847">
      <w:pPr>
        <w:pStyle w:val="ListParagraph"/>
        <w:ind w:left="709"/>
        <w:jc w:val="both"/>
        <w:rPr>
          <w:rFonts w:ascii="Verdana" w:hAnsi="Verdana"/>
          <w:lang w:val="en-US"/>
        </w:rPr>
      </w:pPr>
    </w:p>
    <w:p w:rsidR="00394D25" w:rsidRDefault="00394D25" w:rsidP="00B31F00">
      <w:pPr>
        <w:pStyle w:val="ListParagraph"/>
        <w:numPr>
          <w:ilvl w:val="0"/>
          <w:numId w:val="9"/>
        </w:numPr>
        <w:ind w:left="709" w:hanging="709"/>
        <w:jc w:val="both"/>
        <w:rPr>
          <w:rFonts w:ascii="Verdana" w:hAnsi="Verdana"/>
          <w:lang w:val="en-US"/>
        </w:rPr>
      </w:pPr>
      <w:r w:rsidRPr="007853BA">
        <w:rPr>
          <w:rFonts w:ascii="Verdana" w:hAnsi="Verdana"/>
          <w:lang w:val="en-US"/>
        </w:rPr>
        <w:t xml:space="preserve">The aim of this note is to provide </w:t>
      </w:r>
      <w:r w:rsidR="001F1F89">
        <w:rPr>
          <w:rFonts w:ascii="Verdana" w:hAnsi="Verdana"/>
          <w:lang w:val="en-US"/>
        </w:rPr>
        <w:t>via the EIOPA Q&amp;A on Regulation</w:t>
      </w:r>
      <w:r w:rsidR="007D2FED">
        <w:rPr>
          <w:rFonts w:ascii="Verdana" w:hAnsi="Verdana"/>
          <w:lang w:val="en-US"/>
        </w:rPr>
        <w:t xml:space="preserve"> process</w:t>
      </w:r>
      <w:r w:rsidR="001F1F89">
        <w:rPr>
          <w:rFonts w:ascii="Verdana" w:hAnsi="Verdana"/>
          <w:lang w:val="en-US"/>
        </w:rPr>
        <w:t xml:space="preserve"> </w:t>
      </w:r>
      <w:r w:rsidRPr="007853BA">
        <w:rPr>
          <w:rFonts w:ascii="Verdana" w:hAnsi="Verdana"/>
          <w:lang w:val="en-US"/>
        </w:rPr>
        <w:t xml:space="preserve">explanations and </w:t>
      </w:r>
      <w:r w:rsidR="00E762DB" w:rsidRPr="007853BA">
        <w:rPr>
          <w:rFonts w:ascii="Verdana" w:hAnsi="Verdana"/>
          <w:lang w:val="en-US"/>
        </w:rPr>
        <w:t xml:space="preserve">a </w:t>
      </w:r>
      <w:r w:rsidRPr="007853BA">
        <w:rPr>
          <w:rFonts w:ascii="Verdana" w:hAnsi="Verdana"/>
          <w:lang w:val="en-US"/>
        </w:rPr>
        <w:t xml:space="preserve">list </w:t>
      </w:r>
      <w:r w:rsidR="00E762DB" w:rsidRPr="008620C2">
        <w:rPr>
          <w:rFonts w:ascii="Verdana" w:hAnsi="Verdana"/>
          <w:lang w:val="en-US"/>
        </w:rPr>
        <w:t xml:space="preserve">of </w:t>
      </w:r>
      <w:r w:rsidR="007D2FED">
        <w:rPr>
          <w:rFonts w:ascii="Verdana" w:hAnsi="Verdana"/>
          <w:lang w:val="en-US"/>
        </w:rPr>
        <w:t xml:space="preserve">Q&amp;A </w:t>
      </w:r>
      <w:r w:rsidRPr="008620C2">
        <w:rPr>
          <w:rFonts w:ascii="Verdana" w:hAnsi="Verdana"/>
          <w:lang w:val="en-US"/>
        </w:rPr>
        <w:t xml:space="preserve">on </w:t>
      </w:r>
      <w:r w:rsidR="00ED08E5">
        <w:rPr>
          <w:rFonts w:ascii="Verdana" w:hAnsi="Verdana"/>
          <w:lang w:val="en-US"/>
        </w:rPr>
        <w:t>the completion</w:t>
      </w:r>
      <w:r w:rsidRPr="008620C2">
        <w:rPr>
          <w:rFonts w:ascii="Verdana" w:hAnsi="Verdana"/>
          <w:lang w:val="en-US"/>
        </w:rPr>
        <w:t xml:space="preserve"> of the quantitative reporting templates S.29.01 to S.29.04 (as defined in </w:t>
      </w:r>
      <w:r w:rsidRPr="007853BA">
        <w:rPr>
          <w:rFonts w:ascii="Verdana" w:hAnsi="Verdana"/>
          <w:lang w:val="en-US"/>
        </w:rPr>
        <w:t>Commission Implementing Regulation (EU) 2015/2450 of 2 December 2015 laying down implementing technical standards with regard to the templates for the submission of information to the supervisory authorities according to Directive 2009/138/EC of the European Parliame</w:t>
      </w:r>
      <w:r w:rsidRPr="008620C2">
        <w:rPr>
          <w:rFonts w:ascii="Verdana" w:hAnsi="Verdana"/>
          <w:lang w:val="en-US"/>
        </w:rPr>
        <w:t>nt and of the Council</w:t>
      </w:r>
      <w:r w:rsidRPr="007853BA">
        <w:rPr>
          <w:rFonts w:ascii="Verdana" w:hAnsi="Verdana"/>
          <w:lang w:val="en-US"/>
        </w:rPr>
        <w:t>).</w:t>
      </w:r>
    </w:p>
    <w:p w:rsidR="008E7711" w:rsidRDefault="008E7711" w:rsidP="004F5581">
      <w:pPr>
        <w:pStyle w:val="ListParagraph"/>
        <w:ind w:left="709"/>
        <w:jc w:val="both"/>
        <w:rPr>
          <w:rFonts w:ascii="Verdana" w:hAnsi="Verdana"/>
          <w:lang w:val="en-US"/>
        </w:rPr>
      </w:pPr>
    </w:p>
    <w:p w:rsidR="00443628" w:rsidRDefault="00443628" w:rsidP="00AF1CE3">
      <w:pPr>
        <w:pStyle w:val="ListParagraph"/>
        <w:numPr>
          <w:ilvl w:val="0"/>
          <w:numId w:val="9"/>
        </w:numPr>
        <w:ind w:left="709" w:hanging="709"/>
        <w:jc w:val="both"/>
        <w:rPr>
          <w:rFonts w:ascii="Verdana" w:hAnsi="Verdana"/>
          <w:lang w:val="en-US"/>
        </w:rPr>
      </w:pPr>
      <w:r>
        <w:rPr>
          <w:rFonts w:ascii="Verdana" w:hAnsi="Verdana"/>
          <w:lang w:val="en-US"/>
        </w:rPr>
        <w:t>As any other Q&amp;A EIOP</w:t>
      </w:r>
      <w:r w:rsidR="00DE02C1">
        <w:rPr>
          <w:rFonts w:ascii="Verdana" w:hAnsi="Verdana"/>
          <w:lang w:val="en-US"/>
        </w:rPr>
        <w:t>A expects that insurance and re</w:t>
      </w:r>
      <w:r>
        <w:rPr>
          <w:rFonts w:ascii="Verdana" w:hAnsi="Verdana"/>
          <w:lang w:val="en-US"/>
        </w:rPr>
        <w:t>insurance undertakings use the explanations and further clarifications on</w:t>
      </w:r>
      <w:r w:rsidR="00AF1CE3">
        <w:rPr>
          <w:rFonts w:ascii="Verdana" w:hAnsi="Verdana"/>
          <w:lang w:val="en-US"/>
        </w:rPr>
        <w:t xml:space="preserve"> </w:t>
      </w:r>
      <w:r>
        <w:rPr>
          <w:rFonts w:ascii="Verdana" w:hAnsi="Verdana"/>
          <w:lang w:val="en-US"/>
        </w:rPr>
        <w:t>the</w:t>
      </w:r>
      <w:r w:rsidR="00AF1CE3">
        <w:rPr>
          <w:rFonts w:ascii="Verdana" w:hAnsi="Verdana"/>
          <w:lang w:val="en-US"/>
        </w:rPr>
        <w:t xml:space="preserve"> </w:t>
      </w:r>
      <w:r>
        <w:rPr>
          <w:rFonts w:ascii="Verdana" w:hAnsi="Verdana"/>
          <w:lang w:val="en-US"/>
        </w:rPr>
        <w:t xml:space="preserve">Instructions </w:t>
      </w:r>
      <w:r w:rsidR="00120217">
        <w:rPr>
          <w:rFonts w:ascii="Verdana" w:hAnsi="Verdana"/>
          <w:lang w:val="en-US"/>
        </w:rPr>
        <w:t>of the reporting ITS</w:t>
      </w:r>
      <w:r>
        <w:rPr>
          <w:rFonts w:ascii="Verdana" w:hAnsi="Verdana"/>
          <w:lang w:val="en-US"/>
        </w:rPr>
        <w:t xml:space="preserve"> included in this document in the implementation and reporting of the templates regarding end 2017 submission. However</w:t>
      </w:r>
      <w:r w:rsidR="005136FE">
        <w:rPr>
          <w:rFonts w:ascii="Verdana" w:hAnsi="Verdana"/>
          <w:lang w:val="en-US"/>
        </w:rPr>
        <w:t>,</w:t>
      </w:r>
      <w:r>
        <w:rPr>
          <w:rFonts w:ascii="Verdana" w:hAnsi="Verdana"/>
          <w:lang w:val="en-US"/>
        </w:rPr>
        <w:t xml:space="preserve"> it is </w:t>
      </w:r>
      <w:r w:rsidR="005136FE">
        <w:rPr>
          <w:rFonts w:ascii="Verdana" w:hAnsi="Verdana"/>
          <w:lang w:val="en-US"/>
        </w:rPr>
        <w:t>acknowledged</w:t>
      </w:r>
      <w:r>
        <w:rPr>
          <w:rFonts w:ascii="Verdana" w:hAnsi="Verdana"/>
          <w:lang w:val="en-US"/>
        </w:rPr>
        <w:t xml:space="preserve"> that the templates raised many questions and doubts and </w:t>
      </w:r>
      <w:r w:rsidR="000565FD">
        <w:rPr>
          <w:rFonts w:ascii="Verdana" w:hAnsi="Verdana"/>
          <w:lang w:val="en-US"/>
        </w:rPr>
        <w:t>this</w:t>
      </w:r>
      <w:r w:rsidR="005136FE">
        <w:rPr>
          <w:rFonts w:ascii="Verdana" w:hAnsi="Verdana"/>
          <w:lang w:val="en-US"/>
        </w:rPr>
        <w:t xml:space="preserve"> </w:t>
      </w:r>
      <w:r w:rsidR="00AF1CE3">
        <w:rPr>
          <w:rFonts w:ascii="Verdana" w:hAnsi="Verdana"/>
          <w:lang w:val="en-US"/>
        </w:rPr>
        <w:t xml:space="preserve">Notes </w:t>
      </w:r>
      <w:r w:rsidR="000565FD">
        <w:rPr>
          <w:rFonts w:ascii="Verdana" w:hAnsi="Verdana"/>
          <w:lang w:val="en-US"/>
        </w:rPr>
        <w:t>is</w:t>
      </w:r>
      <w:r>
        <w:rPr>
          <w:rFonts w:ascii="Verdana" w:hAnsi="Verdana"/>
          <w:lang w:val="en-US"/>
        </w:rPr>
        <w:t xml:space="preserve"> being published close to the submission date and therefore a best effort approach is expected. </w:t>
      </w:r>
    </w:p>
    <w:p w:rsidR="00443628" w:rsidRPr="00FB576E" w:rsidRDefault="00443628" w:rsidP="00E2336A">
      <w:pPr>
        <w:pStyle w:val="ListParagraph"/>
        <w:rPr>
          <w:rFonts w:ascii="Verdana" w:hAnsi="Verdana"/>
          <w:lang w:val="en-US"/>
        </w:rPr>
      </w:pPr>
    </w:p>
    <w:p w:rsidR="008E7711" w:rsidRDefault="008E7711" w:rsidP="00B31F00">
      <w:pPr>
        <w:pStyle w:val="ListParagraph"/>
        <w:numPr>
          <w:ilvl w:val="0"/>
          <w:numId w:val="9"/>
        </w:numPr>
        <w:ind w:left="709" w:hanging="709"/>
        <w:jc w:val="both"/>
        <w:rPr>
          <w:rFonts w:ascii="Verdana" w:hAnsi="Verdana"/>
          <w:lang w:val="en-US"/>
        </w:rPr>
      </w:pPr>
      <w:r>
        <w:rPr>
          <w:rFonts w:ascii="Verdana" w:hAnsi="Verdana"/>
          <w:lang w:val="en-US"/>
        </w:rPr>
        <w:t>The Note has the following structure:</w:t>
      </w:r>
    </w:p>
    <w:p w:rsidR="008E7711" w:rsidRDefault="008E7711" w:rsidP="004F5581">
      <w:pPr>
        <w:pStyle w:val="ListParagraph"/>
        <w:numPr>
          <w:ilvl w:val="0"/>
          <w:numId w:val="17"/>
        </w:numPr>
        <w:ind w:left="1418"/>
        <w:jc w:val="both"/>
        <w:rPr>
          <w:rFonts w:ascii="Verdana" w:hAnsi="Verdana"/>
          <w:lang w:val="en-US"/>
        </w:rPr>
      </w:pPr>
      <w:r>
        <w:rPr>
          <w:rFonts w:ascii="Verdana" w:hAnsi="Verdana"/>
          <w:lang w:val="en-US"/>
        </w:rPr>
        <w:t xml:space="preserve">Template by template, the Note </w:t>
      </w:r>
      <w:r w:rsidRPr="007853BA">
        <w:rPr>
          <w:rFonts w:ascii="Verdana" w:hAnsi="Verdana"/>
          <w:lang w:val="en-US"/>
        </w:rPr>
        <w:t>provide</w:t>
      </w:r>
      <w:r>
        <w:rPr>
          <w:rFonts w:ascii="Verdana" w:hAnsi="Verdana"/>
          <w:lang w:val="en-US"/>
        </w:rPr>
        <w:t>s</w:t>
      </w:r>
      <w:r w:rsidRPr="007853BA">
        <w:rPr>
          <w:rFonts w:ascii="Verdana" w:hAnsi="Verdana"/>
          <w:lang w:val="en-US"/>
        </w:rPr>
        <w:t xml:space="preserve"> explanations and a list </w:t>
      </w:r>
      <w:r w:rsidRPr="008620C2">
        <w:rPr>
          <w:rFonts w:ascii="Verdana" w:hAnsi="Verdana"/>
          <w:lang w:val="en-US"/>
        </w:rPr>
        <w:t>of Q</w:t>
      </w:r>
      <w:r w:rsidR="00FF007F">
        <w:rPr>
          <w:rFonts w:ascii="Verdana" w:hAnsi="Verdana"/>
          <w:lang w:val="en-US"/>
        </w:rPr>
        <w:t>&amp;A</w:t>
      </w:r>
      <w:r>
        <w:rPr>
          <w:rFonts w:ascii="Verdana" w:hAnsi="Verdana"/>
          <w:lang w:val="en-US"/>
        </w:rPr>
        <w:t>;</w:t>
      </w:r>
      <w:r w:rsidR="00FB576E">
        <w:rPr>
          <w:rFonts w:ascii="Verdana" w:hAnsi="Verdana"/>
          <w:lang w:val="en-US"/>
        </w:rPr>
        <w:t xml:space="preserve"> and</w:t>
      </w:r>
    </w:p>
    <w:p w:rsidR="008E7711" w:rsidRDefault="008E7711" w:rsidP="004F5581">
      <w:pPr>
        <w:pStyle w:val="ListParagraph"/>
        <w:numPr>
          <w:ilvl w:val="0"/>
          <w:numId w:val="17"/>
        </w:numPr>
        <w:ind w:left="1418"/>
        <w:jc w:val="both"/>
        <w:rPr>
          <w:rFonts w:ascii="Verdana" w:hAnsi="Verdana"/>
          <w:lang w:val="en-US"/>
        </w:rPr>
      </w:pPr>
      <w:r>
        <w:rPr>
          <w:rFonts w:ascii="Verdana" w:hAnsi="Verdana"/>
          <w:lang w:val="en-US"/>
        </w:rPr>
        <w:t xml:space="preserve">Annex 1 provides a number of examples regarding </w:t>
      </w:r>
      <w:r w:rsidR="006B37B9">
        <w:rPr>
          <w:rFonts w:ascii="Verdana" w:hAnsi="Verdana"/>
          <w:lang w:val="en-US"/>
        </w:rPr>
        <w:t>n</w:t>
      </w:r>
      <w:r>
        <w:rPr>
          <w:rFonts w:ascii="Verdana" w:hAnsi="Verdana"/>
          <w:lang w:val="en-US"/>
        </w:rPr>
        <w:t>on-</w:t>
      </w:r>
      <w:r w:rsidR="006B37B9">
        <w:rPr>
          <w:rFonts w:ascii="Verdana" w:hAnsi="Verdana"/>
          <w:lang w:val="en-US"/>
        </w:rPr>
        <w:t>l</w:t>
      </w:r>
      <w:r>
        <w:rPr>
          <w:rFonts w:ascii="Verdana" w:hAnsi="Verdana"/>
          <w:lang w:val="en-US"/>
        </w:rPr>
        <w:t>ife business</w:t>
      </w:r>
      <w:r w:rsidR="00FF007F">
        <w:rPr>
          <w:rFonts w:ascii="Verdana" w:hAnsi="Verdana"/>
          <w:lang w:val="en-US"/>
        </w:rPr>
        <w:t xml:space="preserve"> and index</w:t>
      </w:r>
      <w:r w:rsidR="006B37B9">
        <w:rPr>
          <w:rFonts w:ascii="Verdana" w:hAnsi="Verdana"/>
          <w:lang w:val="en-US"/>
        </w:rPr>
        <w:t>-</w:t>
      </w:r>
      <w:r w:rsidR="00FF007F">
        <w:rPr>
          <w:rFonts w:ascii="Verdana" w:hAnsi="Verdana"/>
          <w:lang w:val="en-US"/>
        </w:rPr>
        <w:t xml:space="preserve">linked </w:t>
      </w:r>
      <w:r w:rsidR="006B37B9">
        <w:rPr>
          <w:rFonts w:ascii="Verdana" w:hAnsi="Verdana"/>
          <w:lang w:val="en-US"/>
        </w:rPr>
        <w:t>and unit-linked business</w:t>
      </w:r>
      <w:r w:rsidR="00FB576E">
        <w:rPr>
          <w:rFonts w:ascii="Verdana" w:hAnsi="Verdana"/>
          <w:lang w:val="en-US"/>
        </w:rPr>
        <w:t>.</w:t>
      </w:r>
    </w:p>
    <w:p w:rsidR="008E7711" w:rsidRPr="007853BA" w:rsidRDefault="00FB576E" w:rsidP="00FB576E">
      <w:pPr>
        <w:pStyle w:val="ListParagraph"/>
        <w:numPr>
          <w:ilvl w:val="0"/>
          <w:numId w:val="9"/>
        </w:numPr>
        <w:ind w:left="709" w:hanging="709"/>
        <w:jc w:val="both"/>
        <w:rPr>
          <w:rFonts w:ascii="Verdana" w:hAnsi="Verdana"/>
          <w:lang w:val="en-US"/>
        </w:rPr>
      </w:pPr>
      <w:r>
        <w:rPr>
          <w:rFonts w:ascii="Verdana" w:hAnsi="Verdana"/>
          <w:lang w:val="en-US"/>
        </w:rPr>
        <w:t xml:space="preserve">The necessary </w:t>
      </w:r>
      <w:r w:rsidR="008E7711">
        <w:rPr>
          <w:rFonts w:ascii="Verdana" w:hAnsi="Verdana"/>
          <w:lang w:val="en-US"/>
        </w:rPr>
        <w:t>corrections/amendments to the Instructions of the templates</w:t>
      </w:r>
      <w:r w:rsidR="00DC666E" w:rsidRPr="003C65DB">
        <w:rPr>
          <w:vertAlign w:val="superscript"/>
        </w:rPr>
        <w:footnoteReference w:id="2"/>
      </w:r>
      <w:r w:rsidR="00136788">
        <w:rPr>
          <w:rFonts w:ascii="Verdana" w:hAnsi="Verdana"/>
          <w:lang w:val="en-US"/>
        </w:rPr>
        <w:t xml:space="preserve"> will be proposed for the 2018 draft ITS correction to be approved by </w:t>
      </w:r>
      <w:r w:rsidR="006B37B9">
        <w:rPr>
          <w:rFonts w:ascii="Verdana" w:hAnsi="Verdana"/>
          <w:lang w:val="en-US"/>
        </w:rPr>
        <w:t xml:space="preserve">EIOPA BoS in </w:t>
      </w:r>
      <w:r w:rsidR="00136788">
        <w:rPr>
          <w:rFonts w:ascii="Verdana" w:hAnsi="Verdana"/>
          <w:lang w:val="en-US"/>
        </w:rPr>
        <w:t>July 2018</w:t>
      </w:r>
      <w:r w:rsidR="008E7711">
        <w:rPr>
          <w:rFonts w:ascii="Verdana" w:hAnsi="Verdana"/>
          <w:lang w:val="en-US"/>
        </w:rPr>
        <w:t>.</w:t>
      </w:r>
      <w:r w:rsidR="00DC666E">
        <w:rPr>
          <w:rFonts w:ascii="Verdana" w:hAnsi="Verdana"/>
          <w:lang w:val="en-US"/>
        </w:rPr>
        <w:t xml:space="preserve"> </w:t>
      </w:r>
    </w:p>
    <w:p w:rsidR="00394D25" w:rsidRDefault="00394D25" w:rsidP="00B31F00">
      <w:pPr>
        <w:pStyle w:val="ListParagraph"/>
        <w:ind w:left="567"/>
        <w:jc w:val="both"/>
        <w:rPr>
          <w:rFonts w:ascii="Verdana" w:hAnsi="Verdana"/>
          <w:lang w:val="en-US"/>
        </w:rPr>
      </w:pPr>
    </w:p>
    <w:p w:rsidR="00F757BD" w:rsidRPr="007853BA" w:rsidRDefault="00F757BD" w:rsidP="00B31F00">
      <w:pPr>
        <w:pStyle w:val="ListParagraph"/>
        <w:numPr>
          <w:ilvl w:val="0"/>
          <w:numId w:val="9"/>
        </w:numPr>
        <w:ind w:left="709" w:hanging="709"/>
        <w:jc w:val="both"/>
        <w:rPr>
          <w:rFonts w:ascii="Verdana" w:hAnsi="Verdana"/>
          <w:lang w:val="en-US"/>
        </w:rPr>
      </w:pPr>
      <w:r w:rsidRPr="007853BA">
        <w:rPr>
          <w:rFonts w:ascii="Verdana" w:hAnsi="Verdana"/>
          <w:lang w:val="en-US"/>
        </w:rPr>
        <w:t xml:space="preserve">The aim of </w:t>
      </w:r>
      <w:r w:rsidRPr="00B31F00">
        <w:rPr>
          <w:rFonts w:ascii="Verdana" w:hAnsi="Verdana"/>
          <w:lang w:val="en-US"/>
        </w:rPr>
        <w:t>th</w:t>
      </w:r>
      <w:r w:rsidR="00CD66CA">
        <w:rPr>
          <w:rFonts w:ascii="Verdana" w:hAnsi="Verdana"/>
          <w:lang w:val="en-US"/>
        </w:rPr>
        <w:t>ese</w:t>
      </w:r>
      <w:r w:rsidRPr="007853BA">
        <w:rPr>
          <w:rFonts w:ascii="Verdana" w:hAnsi="Verdana"/>
          <w:lang w:val="en-US"/>
        </w:rPr>
        <w:t xml:space="preserve"> templates is to explain with economic metrics </w:t>
      </w:r>
      <w:r w:rsidR="00394D25" w:rsidRPr="007853BA">
        <w:rPr>
          <w:rFonts w:ascii="Verdana" w:hAnsi="Verdana"/>
          <w:lang w:val="en-US"/>
        </w:rPr>
        <w:t>why and how the s</w:t>
      </w:r>
      <w:r w:rsidR="00B31F00" w:rsidRPr="008620C2">
        <w:rPr>
          <w:rFonts w:ascii="Verdana" w:hAnsi="Verdana"/>
          <w:lang w:val="en-US"/>
        </w:rPr>
        <w:t>i</w:t>
      </w:r>
      <w:r w:rsidR="00394D25" w:rsidRPr="008620C2">
        <w:rPr>
          <w:rFonts w:ascii="Verdana" w:hAnsi="Verdana"/>
          <w:lang w:val="en-US"/>
        </w:rPr>
        <w:t>tuation of the undertaking has evolved</w:t>
      </w:r>
      <w:r w:rsidRPr="008620C2">
        <w:rPr>
          <w:rFonts w:ascii="Verdana" w:hAnsi="Verdana"/>
          <w:lang w:val="en-US"/>
        </w:rPr>
        <w:t xml:space="preserve"> during the year. </w:t>
      </w:r>
      <w:r w:rsidR="00394D25" w:rsidRPr="008620C2">
        <w:rPr>
          <w:rFonts w:ascii="Verdana" w:hAnsi="Verdana"/>
          <w:lang w:val="en-US"/>
        </w:rPr>
        <w:t>As it implies having two full years of Solvency II application th</w:t>
      </w:r>
      <w:r w:rsidR="009940C2">
        <w:rPr>
          <w:rFonts w:ascii="Verdana" w:hAnsi="Verdana"/>
          <w:lang w:val="en-US"/>
        </w:rPr>
        <w:t>e</w:t>
      </w:r>
      <w:r w:rsidR="00394D25" w:rsidRPr="008620C2">
        <w:rPr>
          <w:rFonts w:ascii="Verdana" w:hAnsi="Verdana"/>
          <w:lang w:val="en-US"/>
        </w:rPr>
        <w:t>s</w:t>
      </w:r>
      <w:r w:rsidR="009940C2">
        <w:rPr>
          <w:rFonts w:ascii="Verdana" w:hAnsi="Verdana"/>
          <w:lang w:val="en-US"/>
        </w:rPr>
        <w:t>e</w:t>
      </w:r>
      <w:r w:rsidR="00394D25" w:rsidRPr="008620C2">
        <w:rPr>
          <w:rFonts w:ascii="Verdana" w:hAnsi="Verdana"/>
          <w:lang w:val="en-US"/>
        </w:rPr>
        <w:t xml:space="preserve"> templates are </w:t>
      </w:r>
      <w:r w:rsidR="00CD66CA" w:rsidRPr="008620C2">
        <w:rPr>
          <w:rFonts w:ascii="Verdana" w:hAnsi="Verdana"/>
          <w:lang w:val="en-US"/>
        </w:rPr>
        <w:t xml:space="preserve">only </w:t>
      </w:r>
      <w:r w:rsidR="00394D25" w:rsidRPr="008620C2">
        <w:rPr>
          <w:rFonts w:ascii="Verdana" w:hAnsi="Verdana"/>
          <w:lang w:val="en-US"/>
        </w:rPr>
        <w:t xml:space="preserve">due for the first time with reference to the end of 2017, where an analysis of the variation of own funds between end 2016 and end 2017 will be provided.  </w:t>
      </w:r>
    </w:p>
    <w:p w:rsidR="00394D25" w:rsidRPr="00B31F00" w:rsidRDefault="00394D25" w:rsidP="00B31F00">
      <w:pPr>
        <w:pStyle w:val="ListParagraph"/>
        <w:ind w:left="567"/>
        <w:jc w:val="both"/>
        <w:rPr>
          <w:rFonts w:ascii="Verdana" w:hAnsi="Verdana"/>
          <w:lang w:val="en-US"/>
        </w:rPr>
      </w:pPr>
    </w:p>
    <w:p w:rsidR="00F757BD" w:rsidRPr="007853BA" w:rsidRDefault="00F757BD" w:rsidP="00B31F00">
      <w:pPr>
        <w:pStyle w:val="ListParagraph"/>
        <w:numPr>
          <w:ilvl w:val="0"/>
          <w:numId w:val="9"/>
        </w:numPr>
        <w:ind w:left="709" w:hanging="709"/>
        <w:jc w:val="both"/>
        <w:rPr>
          <w:rFonts w:ascii="Verdana" w:hAnsi="Verdana"/>
          <w:lang w:val="en-US"/>
        </w:rPr>
      </w:pPr>
      <w:r w:rsidRPr="007853BA">
        <w:rPr>
          <w:rFonts w:ascii="Verdana" w:hAnsi="Verdana"/>
          <w:lang w:val="en-US"/>
        </w:rPr>
        <w:t xml:space="preserve">The variation analysis includes </w:t>
      </w:r>
      <w:r w:rsidR="00136788">
        <w:rPr>
          <w:rFonts w:ascii="Verdana" w:hAnsi="Verdana"/>
          <w:lang w:val="en-US"/>
        </w:rPr>
        <w:t>four</w:t>
      </w:r>
      <w:r w:rsidRPr="007853BA">
        <w:rPr>
          <w:rFonts w:ascii="Verdana" w:hAnsi="Verdana"/>
          <w:lang w:val="en-US"/>
        </w:rPr>
        <w:t xml:space="preserve"> </w:t>
      </w:r>
      <w:r w:rsidR="008F4117" w:rsidRPr="007853BA">
        <w:rPr>
          <w:rFonts w:ascii="Verdana" w:hAnsi="Verdana"/>
          <w:lang w:val="en-US"/>
        </w:rPr>
        <w:t xml:space="preserve">templates </w:t>
      </w:r>
      <w:r w:rsidR="00394D25" w:rsidRPr="007853BA">
        <w:rPr>
          <w:rFonts w:ascii="Verdana" w:hAnsi="Verdana"/>
          <w:lang w:val="en-US"/>
        </w:rPr>
        <w:t xml:space="preserve">addressing different inputs </w:t>
      </w:r>
      <w:r w:rsidR="00136788">
        <w:rPr>
          <w:rFonts w:ascii="Verdana" w:hAnsi="Verdana"/>
          <w:lang w:val="en-US"/>
        </w:rPr>
        <w:t xml:space="preserve">to the variation of excess of assets over liabilities </w:t>
      </w:r>
      <w:r w:rsidR="00394D25" w:rsidRPr="007853BA">
        <w:rPr>
          <w:rFonts w:ascii="Verdana" w:hAnsi="Verdana"/>
          <w:lang w:val="en-US"/>
        </w:rPr>
        <w:t>(own funds, investments and techni</w:t>
      </w:r>
      <w:r w:rsidR="00394D25" w:rsidRPr="008620C2">
        <w:rPr>
          <w:rFonts w:ascii="Verdana" w:hAnsi="Verdana"/>
          <w:lang w:val="en-US"/>
        </w:rPr>
        <w:t>cal provisions)</w:t>
      </w:r>
      <w:r w:rsidR="00136788">
        <w:rPr>
          <w:rFonts w:ascii="Verdana" w:hAnsi="Verdana"/>
          <w:lang w:val="en-US"/>
        </w:rPr>
        <w:t xml:space="preserve">. To assess the variation of excess of assets over liabilities </w:t>
      </w:r>
      <w:r w:rsidR="006B37B9">
        <w:rPr>
          <w:rFonts w:ascii="Verdana" w:hAnsi="Verdana"/>
          <w:lang w:val="en-US"/>
        </w:rPr>
        <w:t>(EoAoL)</w:t>
      </w:r>
      <w:r w:rsidR="00136788">
        <w:rPr>
          <w:rFonts w:ascii="Verdana" w:hAnsi="Verdana"/>
          <w:lang w:val="en-US"/>
        </w:rPr>
        <w:t xml:space="preserve"> from one year to the other the four templates </w:t>
      </w:r>
      <w:r w:rsidRPr="008620C2">
        <w:rPr>
          <w:rFonts w:ascii="Verdana" w:hAnsi="Verdana"/>
          <w:lang w:val="en-US"/>
        </w:rPr>
        <w:t xml:space="preserve">should be </w:t>
      </w:r>
      <w:r w:rsidR="00136788">
        <w:rPr>
          <w:rFonts w:ascii="Verdana" w:hAnsi="Verdana"/>
          <w:lang w:val="en-US"/>
        </w:rPr>
        <w:t>considered</w:t>
      </w:r>
      <w:r w:rsidR="00136788" w:rsidRPr="008620C2">
        <w:rPr>
          <w:rFonts w:ascii="Verdana" w:hAnsi="Verdana"/>
          <w:lang w:val="en-US"/>
        </w:rPr>
        <w:t xml:space="preserve"> </w:t>
      </w:r>
      <w:r w:rsidRPr="008620C2">
        <w:rPr>
          <w:rFonts w:ascii="Verdana" w:hAnsi="Verdana"/>
          <w:lang w:val="en-US"/>
        </w:rPr>
        <w:t>as a whole.</w:t>
      </w:r>
    </w:p>
    <w:p w:rsidR="00CA2512" w:rsidRDefault="00CA2512" w:rsidP="00CA2512">
      <w:pPr>
        <w:pStyle w:val="Heading1"/>
        <w:rPr>
          <w:rFonts w:ascii="Verdana" w:hAnsi="Verdana"/>
          <w:sz w:val="22"/>
          <w:lang w:val="en-US"/>
        </w:rPr>
      </w:pPr>
      <w:r>
        <w:rPr>
          <w:rFonts w:ascii="Verdana" w:hAnsi="Verdana"/>
          <w:sz w:val="22"/>
          <w:lang w:val="en-US"/>
        </w:rPr>
        <w:t>General Q&amp;A</w:t>
      </w:r>
    </w:p>
    <w:p w:rsidR="00CA2512" w:rsidRDefault="00CA2512" w:rsidP="00FB576E">
      <w:pPr>
        <w:rPr>
          <w:lang w:val="en-US"/>
        </w:rPr>
      </w:pPr>
    </w:p>
    <w:tbl>
      <w:tblPr>
        <w:tblStyle w:val="TableGrid"/>
        <w:tblW w:w="0" w:type="auto"/>
        <w:tblLook w:val="04A0" w:firstRow="1" w:lastRow="0" w:firstColumn="1" w:lastColumn="0" w:noHBand="0" w:noVBand="1"/>
      </w:tblPr>
      <w:tblGrid>
        <w:gridCol w:w="9288"/>
      </w:tblGrid>
      <w:tr w:rsidR="00CA2512" w:rsidTr="00FB576E">
        <w:tc>
          <w:tcPr>
            <w:tcW w:w="9288" w:type="dxa"/>
          </w:tcPr>
          <w:p w:rsidR="00CA2512" w:rsidRPr="00E2336A" w:rsidRDefault="00CA2512" w:rsidP="00CA2512">
            <w:pPr>
              <w:rPr>
                <w:rFonts w:ascii="Verdana" w:hAnsi="Verdana"/>
                <w:b/>
                <w:sz w:val="20"/>
                <w:szCs w:val="20"/>
              </w:rPr>
            </w:pPr>
            <w:r w:rsidRPr="00FB576E">
              <w:rPr>
                <w:rFonts w:ascii="Verdana" w:hAnsi="Verdana"/>
                <w:b/>
                <w:sz w:val="20"/>
                <w:szCs w:val="20"/>
              </w:rPr>
              <w:t>Q&amp;A 1479:</w:t>
            </w:r>
          </w:p>
          <w:p w:rsidR="00CA2512" w:rsidRPr="00FB576E" w:rsidRDefault="00CA2512" w:rsidP="00CA2512">
            <w:pPr>
              <w:rPr>
                <w:rFonts w:ascii="Verdana" w:hAnsi="Verdana"/>
                <w:sz w:val="20"/>
                <w:szCs w:val="20"/>
              </w:rPr>
            </w:pPr>
          </w:p>
          <w:p w:rsidR="007D5B51" w:rsidRDefault="00CA2512" w:rsidP="00FB576E">
            <w:pPr>
              <w:jc w:val="both"/>
              <w:rPr>
                <w:rFonts w:ascii="Verdana" w:hAnsi="Verdana"/>
                <w:lang w:val="en-US"/>
              </w:rPr>
            </w:pPr>
            <w:r w:rsidRPr="00FB576E">
              <w:rPr>
                <w:rFonts w:ascii="Verdana" w:hAnsi="Verdana"/>
                <w:lang w:val="en-US"/>
              </w:rPr>
              <w:t>Is there an updated log file for S</w:t>
            </w:r>
            <w:r w:rsidR="00FB576E">
              <w:rPr>
                <w:rFonts w:ascii="Verdana" w:hAnsi="Verdana"/>
                <w:lang w:val="en-US"/>
              </w:rPr>
              <w:t>.</w:t>
            </w:r>
            <w:r w:rsidRPr="00FB576E">
              <w:rPr>
                <w:rFonts w:ascii="Verdana" w:hAnsi="Verdana"/>
                <w:lang w:val="en-US"/>
              </w:rPr>
              <w:t>29</w:t>
            </w:r>
            <w:r w:rsidRPr="00E2336A">
              <w:rPr>
                <w:rFonts w:ascii="Verdana" w:hAnsi="Verdana"/>
                <w:lang w:val="en-US"/>
              </w:rPr>
              <w:t>.04 which reflects the changes listed in Annex 2 of the Variation analysis issued on 29 June 2017?</w:t>
            </w:r>
            <w:r w:rsidR="007D5B51">
              <w:rPr>
                <w:rFonts w:ascii="Verdana" w:hAnsi="Verdana"/>
                <w:lang w:val="en-US"/>
              </w:rPr>
              <w:t xml:space="preserve"> </w:t>
            </w:r>
          </w:p>
          <w:p w:rsidR="00CA2512" w:rsidRPr="00E2336A" w:rsidRDefault="00CA2512" w:rsidP="00FB576E">
            <w:pPr>
              <w:jc w:val="both"/>
              <w:rPr>
                <w:rFonts w:ascii="Verdana" w:hAnsi="Verdana"/>
                <w:lang w:val="en-US"/>
              </w:rPr>
            </w:pPr>
            <w:r w:rsidRPr="00E2336A">
              <w:rPr>
                <w:rFonts w:ascii="Verdana" w:hAnsi="Verdana"/>
                <w:lang w:val="en-US"/>
              </w:rPr>
              <w:br/>
              <w:t>In particular, can you confirm what we should be using for C0020/R0040 in S</w:t>
            </w:r>
            <w:r w:rsidR="00AF1CE3">
              <w:rPr>
                <w:rFonts w:ascii="Verdana" w:hAnsi="Verdana"/>
                <w:lang w:val="en-US"/>
              </w:rPr>
              <w:t>.</w:t>
            </w:r>
            <w:r w:rsidRPr="00E2336A">
              <w:rPr>
                <w:rFonts w:ascii="Verdana" w:hAnsi="Verdana"/>
                <w:lang w:val="en-US"/>
              </w:rPr>
              <w:t>29.04? Do we use the Variation analysis, or the log file which was issued previously?</w:t>
            </w:r>
            <w:r w:rsidRPr="00E2336A">
              <w:rPr>
                <w:rFonts w:ascii="Verdana" w:hAnsi="Verdana"/>
                <w:lang w:val="en-US"/>
              </w:rPr>
              <w:br/>
            </w:r>
          </w:p>
          <w:p w:rsidR="00CA2512" w:rsidRPr="00E2336A" w:rsidRDefault="00CA2512" w:rsidP="00FB576E">
            <w:pPr>
              <w:jc w:val="both"/>
              <w:rPr>
                <w:rFonts w:ascii="Verdana" w:hAnsi="Verdana"/>
                <w:b/>
                <w:sz w:val="20"/>
                <w:szCs w:val="20"/>
              </w:rPr>
            </w:pPr>
            <w:r w:rsidRPr="00E2336A">
              <w:rPr>
                <w:rFonts w:ascii="Verdana" w:hAnsi="Verdana"/>
                <w:b/>
                <w:sz w:val="20"/>
                <w:szCs w:val="20"/>
              </w:rPr>
              <w:t>Answer:</w:t>
            </w:r>
          </w:p>
          <w:p w:rsidR="00CA2512" w:rsidRPr="00E2336A" w:rsidRDefault="00CA2512" w:rsidP="00FB576E">
            <w:pPr>
              <w:jc w:val="both"/>
              <w:rPr>
                <w:rFonts w:ascii="Verdana" w:hAnsi="Verdana"/>
                <w:lang w:val="en-US"/>
              </w:rPr>
            </w:pPr>
            <w:r w:rsidRPr="00CA2512">
              <w:rPr>
                <w:rFonts w:ascii="Verdana" w:hAnsi="Verdana"/>
                <w:lang w:val="en-US"/>
              </w:rPr>
              <w:t xml:space="preserve">As </w:t>
            </w:r>
            <w:r w:rsidR="005136FE">
              <w:rPr>
                <w:rFonts w:ascii="Verdana" w:hAnsi="Verdana"/>
                <w:lang w:val="en-US"/>
              </w:rPr>
              <w:t>with</w:t>
            </w:r>
            <w:r w:rsidRPr="00CA2512">
              <w:rPr>
                <w:rFonts w:ascii="Verdana" w:hAnsi="Verdana"/>
                <w:lang w:val="en-US"/>
              </w:rPr>
              <w:t xml:space="preserve"> any other Q&amp;A EIOPA expects that insurance and </w:t>
            </w:r>
            <w:r w:rsidR="005136FE" w:rsidRPr="00CA2512">
              <w:rPr>
                <w:rFonts w:ascii="Verdana" w:hAnsi="Verdana"/>
                <w:lang w:val="en-US"/>
              </w:rPr>
              <w:t>reinsurance</w:t>
            </w:r>
            <w:r w:rsidRPr="00CA2512">
              <w:rPr>
                <w:rFonts w:ascii="Verdana" w:hAnsi="Verdana"/>
                <w:lang w:val="en-US"/>
              </w:rPr>
              <w:t xml:space="preserve"> undertakings use the explanations and further clarifications on the Instructions </w:t>
            </w:r>
            <w:r w:rsidR="00120217">
              <w:rPr>
                <w:rFonts w:ascii="Verdana" w:hAnsi="Verdana"/>
                <w:lang w:val="en-US"/>
              </w:rPr>
              <w:t>of the reporting ITS</w:t>
            </w:r>
            <w:r w:rsidRPr="00CA2512">
              <w:rPr>
                <w:rFonts w:ascii="Verdana" w:hAnsi="Verdana"/>
                <w:lang w:val="en-US"/>
              </w:rPr>
              <w:t xml:space="preserve"> included in </w:t>
            </w:r>
            <w:r w:rsidR="00FB576E">
              <w:rPr>
                <w:rFonts w:ascii="Verdana" w:hAnsi="Verdana"/>
                <w:lang w:val="en-US"/>
              </w:rPr>
              <w:t>EIOPA Explanatory Note on reporting templates – Variarion Analysis templates</w:t>
            </w:r>
            <w:r w:rsidRPr="00CA2512">
              <w:rPr>
                <w:rFonts w:ascii="Verdana" w:hAnsi="Verdana"/>
                <w:lang w:val="en-US"/>
              </w:rPr>
              <w:t xml:space="preserve"> in the implementation and reporting of the templates regarding end 2017 submission. </w:t>
            </w:r>
            <w:r w:rsidR="005136FE" w:rsidRPr="00CA2512">
              <w:rPr>
                <w:rFonts w:ascii="Verdana" w:hAnsi="Verdana"/>
                <w:lang w:val="en-US"/>
              </w:rPr>
              <w:t>However,</w:t>
            </w:r>
            <w:r w:rsidRPr="00CA2512">
              <w:rPr>
                <w:rFonts w:ascii="Verdana" w:hAnsi="Verdana"/>
                <w:lang w:val="en-US"/>
              </w:rPr>
              <w:t xml:space="preserve"> it is </w:t>
            </w:r>
            <w:r w:rsidR="005136FE" w:rsidRPr="00CA2512">
              <w:rPr>
                <w:rFonts w:ascii="Verdana" w:hAnsi="Verdana"/>
                <w:lang w:val="en-US"/>
              </w:rPr>
              <w:t>acknowledg</w:t>
            </w:r>
            <w:r w:rsidR="005136FE">
              <w:rPr>
                <w:rFonts w:ascii="Verdana" w:hAnsi="Verdana"/>
                <w:lang w:val="en-US"/>
              </w:rPr>
              <w:t>ed</w:t>
            </w:r>
            <w:r w:rsidRPr="00CA2512">
              <w:rPr>
                <w:rFonts w:ascii="Verdana" w:hAnsi="Verdana"/>
                <w:lang w:val="en-US"/>
              </w:rPr>
              <w:t xml:space="preserve"> that the templates raised many questions and doubts and </w:t>
            </w:r>
            <w:r w:rsidR="005136FE" w:rsidRPr="00CA2512">
              <w:rPr>
                <w:rFonts w:ascii="Verdana" w:hAnsi="Verdana"/>
                <w:lang w:val="en-US"/>
              </w:rPr>
              <w:t>that clarification</w:t>
            </w:r>
            <w:r w:rsidRPr="00CA2512">
              <w:rPr>
                <w:rFonts w:ascii="Verdana" w:hAnsi="Verdana"/>
                <w:lang w:val="en-US"/>
              </w:rPr>
              <w:t xml:space="preserve"> </w:t>
            </w:r>
            <w:r w:rsidR="00120217">
              <w:rPr>
                <w:rFonts w:ascii="Verdana" w:hAnsi="Verdana"/>
                <w:lang w:val="en-US"/>
              </w:rPr>
              <w:t>is</w:t>
            </w:r>
            <w:r w:rsidRPr="00CA2512">
              <w:rPr>
                <w:rFonts w:ascii="Verdana" w:hAnsi="Verdana"/>
                <w:lang w:val="en-US"/>
              </w:rPr>
              <w:t xml:space="preserve"> being published close</w:t>
            </w:r>
            <w:r>
              <w:rPr>
                <w:rFonts w:ascii="Verdana" w:hAnsi="Verdana"/>
                <w:lang w:val="en-US"/>
              </w:rPr>
              <w:t xml:space="preserve"> to the submission date and therefore a best effort approach is expected.</w:t>
            </w:r>
          </w:p>
          <w:p w:rsidR="00CA2512" w:rsidRDefault="00CA2512" w:rsidP="00CA2512">
            <w:pPr>
              <w:rPr>
                <w:lang w:val="en-US"/>
              </w:rPr>
            </w:pPr>
          </w:p>
        </w:tc>
      </w:tr>
    </w:tbl>
    <w:p w:rsidR="003E2030" w:rsidRDefault="003E2030" w:rsidP="001A28BD">
      <w:pPr>
        <w:rPr>
          <w:lang w:val="en-US"/>
        </w:rPr>
      </w:pPr>
    </w:p>
    <w:p w:rsidR="00704AD5" w:rsidRDefault="00704AD5" w:rsidP="001A28BD">
      <w:pPr>
        <w:rPr>
          <w:lang w:val="en-US"/>
        </w:rPr>
      </w:pPr>
    </w:p>
    <w:p w:rsidR="002467D1" w:rsidRPr="007853BA" w:rsidRDefault="002467D1" w:rsidP="00CD66CA">
      <w:pPr>
        <w:pStyle w:val="Heading1"/>
        <w:rPr>
          <w:rFonts w:ascii="Verdana" w:hAnsi="Verdana"/>
          <w:b w:val="0"/>
          <w:lang w:val="en-US"/>
        </w:rPr>
      </w:pPr>
      <w:r w:rsidRPr="007853BA">
        <w:rPr>
          <w:rFonts w:ascii="Verdana" w:hAnsi="Verdana"/>
          <w:sz w:val="22"/>
          <w:lang w:val="en-US"/>
        </w:rPr>
        <w:t>S.29.01 - Excess of Assets over Liabilities</w:t>
      </w:r>
    </w:p>
    <w:p w:rsidR="009F079B" w:rsidRDefault="009F079B" w:rsidP="00CD66CA">
      <w:pPr>
        <w:pStyle w:val="ListParagraph"/>
        <w:ind w:left="709"/>
        <w:jc w:val="both"/>
        <w:rPr>
          <w:rFonts w:ascii="Verdana" w:hAnsi="Verdana"/>
          <w:lang w:val="en-US"/>
        </w:rPr>
      </w:pPr>
    </w:p>
    <w:p w:rsidR="00F757BD" w:rsidRPr="007853BA" w:rsidRDefault="00394D25" w:rsidP="00CD66CA">
      <w:pPr>
        <w:pStyle w:val="ListParagraph"/>
        <w:numPr>
          <w:ilvl w:val="0"/>
          <w:numId w:val="9"/>
        </w:numPr>
        <w:ind w:left="709" w:hanging="709"/>
        <w:jc w:val="both"/>
        <w:rPr>
          <w:rFonts w:ascii="Verdana" w:hAnsi="Verdana"/>
          <w:lang w:val="en-US"/>
        </w:rPr>
      </w:pPr>
      <w:r w:rsidRPr="007853BA">
        <w:rPr>
          <w:rFonts w:ascii="Verdana" w:hAnsi="Verdana"/>
          <w:lang w:val="en-US"/>
        </w:rPr>
        <w:t xml:space="preserve">The quantitative reporting template </w:t>
      </w:r>
      <w:r w:rsidR="00D91658" w:rsidRPr="007853BA">
        <w:rPr>
          <w:rFonts w:ascii="Verdana" w:hAnsi="Verdana"/>
          <w:lang w:val="en-US"/>
        </w:rPr>
        <w:t>S.29.01 summari</w:t>
      </w:r>
      <w:r w:rsidR="00AF5598" w:rsidRPr="007853BA">
        <w:rPr>
          <w:rFonts w:ascii="Verdana" w:hAnsi="Verdana"/>
          <w:lang w:val="en-US"/>
        </w:rPr>
        <w:t>s</w:t>
      </w:r>
      <w:r w:rsidR="00D91658" w:rsidRPr="008620C2">
        <w:rPr>
          <w:rFonts w:ascii="Verdana" w:hAnsi="Verdana"/>
          <w:lang w:val="en-US"/>
        </w:rPr>
        <w:t>es the variation of own funds as they are show</w:t>
      </w:r>
      <w:r w:rsidR="008408D6" w:rsidRPr="008620C2">
        <w:rPr>
          <w:rFonts w:ascii="Verdana" w:hAnsi="Verdana"/>
          <w:lang w:val="en-US"/>
        </w:rPr>
        <w:t>n in own funds templates (S.23). A focus is then done to isolate the variations that are not “</w:t>
      </w:r>
      <w:r w:rsidR="00B31F00" w:rsidRPr="008620C2">
        <w:rPr>
          <w:rFonts w:ascii="Verdana" w:hAnsi="Verdana"/>
          <w:lang w:val="en-US"/>
        </w:rPr>
        <w:t>self-explanatory</w:t>
      </w:r>
      <w:r w:rsidR="008408D6" w:rsidRPr="008620C2">
        <w:rPr>
          <w:rFonts w:ascii="Verdana" w:hAnsi="Verdana"/>
          <w:lang w:val="en-US"/>
        </w:rPr>
        <w:t>”:</w:t>
      </w:r>
    </w:p>
    <w:p w:rsidR="008408D6" w:rsidRDefault="008408D6" w:rsidP="00507D76">
      <w:pPr>
        <w:ind w:left="426"/>
        <w:jc w:val="right"/>
        <w:rPr>
          <w:lang w:val="en-US"/>
        </w:rPr>
      </w:pPr>
      <w:r w:rsidRPr="008408D6">
        <w:rPr>
          <w:noProof/>
          <w:lang w:val="en-GB" w:eastAsia="en-GB"/>
        </w:rPr>
        <w:drawing>
          <wp:inline distT="0" distB="0" distL="0" distR="0" wp14:anchorId="7037F3DC" wp14:editId="7CAA308E">
            <wp:extent cx="5527344" cy="1855946"/>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28653" cy="1856386"/>
                    </a:xfrm>
                    <a:prstGeom prst="rect">
                      <a:avLst/>
                    </a:prstGeom>
                    <a:noFill/>
                    <a:ln>
                      <a:noFill/>
                    </a:ln>
                  </pic:spPr>
                </pic:pic>
              </a:graphicData>
            </a:graphic>
          </wp:inline>
        </w:drawing>
      </w:r>
    </w:p>
    <w:p w:rsidR="008408D6" w:rsidRPr="007853BA" w:rsidRDefault="005136FE" w:rsidP="00CD66CA">
      <w:pPr>
        <w:pStyle w:val="ListParagraph"/>
        <w:numPr>
          <w:ilvl w:val="0"/>
          <w:numId w:val="9"/>
        </w:numPr>
        <w:ind w:left="709" w:hanging="709"/>
        <w:jc w:val="both"/>
        <w:rPr>
          <w:rFonts w:ascii="Verdana" w:hAnsi="Verdana"/>
          <w:lang w:val="en-US"/>
        </w:rPr>
      </w:pPr>
      <w:r>
        <w:rPr>
          <w:rFonts w:ascii="Verdana" w:hAnsi="Verdana"/>
          <w:lang w:val="en-US"/>
        </w:rPr>
        <w:t xml:space="preserve">This is </w:t>
      </w:r>
      <w:r w:rsidR="00B7190B">
        <w:rPr>
          <w:rFonts w:ascii="Verdana" w:hAnsi="Verdana"/>
          <w:lang w:val="en-US"/>
        </w:rPr>
        <w:t>carried out</w:t>
      </w:r>
      <w:r>
        <w:rPr>
          <w:rFonts w:ascii="Verdana" w:hAnsi="Verdana"/>
          <w:lang w:val="en-US"/>
        </w:rPr>
        <w:t xml:space="preserve"> by a</w:t>
      </w:r>
      <w:r w:rsidR="008408D6" w:rsidRPr="007853BA">
        <w:rPr>
          <w:rFonts w:ascii="Verdana" w:hAnsi="Verdana"/>
          <w:lang w:val="en-US"/>
        </w:rPr>
        <w:t xml:space="preserve"> zoom on cell “A”</w:t>
      </w:r>
      <w:r w:rsidR="00507D76">
        <w:rPr>
          <w:rFonts w:ascii="Verdana" w:hAnsi="Verdana"/>
          <w:lang w:val="en-US"/>
        </w:rPr>
        <w:t xml:space="preserve"> – Reconciliation reserve before deduction for participation -</w:t>
      </w:r>
      <w:r w:rsidR="00394D25" w:rsidRPr="008620C2">
        <w:rPr>
          <w:rFonts w:ascii="Verdana" w:hAnsi="Verdana"/>
          <w:lang w:val="en-US"/>
        </w:rPr>
        <w:t xml:space="preserve"> by nature of the items</w:t>
      </w:r>
      <w:r w:rsidR="00507D76">
        <w:rPr>
          <w:rFonts w:ascii="Verdana" w:hAnsi="Verdana"/>
          <w:lang w:val="en-US"/>
        </w:rPr>
        <w:t xml:space="preserve">, excluding the items which are self-explanatory, </w:t>
      </w:r>
      <w:r w:rsidR="0099711E" w:rsidRPr="008620C2">
        <w:rPr>
          <w:rFonts w:ascii="Verdana" w:hAnsi="Verdana"/>
          <w:lang w:val="en-US"/>
        </w:rPr>
        <w:t xml:space="preserve">in order to isolate the </w:t>
      </w:r>
      <w:r w:rsidR="00B7190B">
        <w:rPr>
          <w:rFonts w:ascii="Verdana" w:hAnsi="Verdana"/>
          <w:lang w:val="en-US"/>
        </w:rPr>
        <w:t>EoAoL</w:t>
      </w:r>
      <w:r w:rsidR="0099711E" w:rsidRPr="008620C2">
        <w:rPr>
          <w:rFonts w:ascii="Verdana" w:hAnsi="Verdana"/>
          <w:lang w:val="en-US"/>
        </w:rPr>
        <w:t xml:space="preserve"> which is to be explained by th</w:t>
      </w:r>
      <w:r w:rsidR="00507D76">
        <w:rPr>
          <w:rFonts w:ascii="Verdana" w:hAnsi="Verdana"/>
          <w:lang w:val="en-US"/>
        </w:rPr>
        <w:t>is</w:t>
      </w:r>
      <w:r w:rsidR="0099711E" w:rsidRPr="008620C2">
        <w:rPr>
          <w:rFonts w:ascii="Verdana" w:hAnsi="Verdana"/>
          <w:lang w:val="en-US"/>
        </w:rPr>
        <w:t xml:space="preserve"> template:</w:t>
      </w:r>
    </w:p>
    <w:p w:rsidR="008408D6" w:rsidRDefault="008408D6" w:rsidP="00394D25">
      <w:pPr>
        <w:ind w:left="426"/>
        <w:jc w:val="both"/>
        <w:rPr>
          <w:lang w:val="en-US"/>
        </w:rPr>
      </w:pPr>
      <w:r w:rsidRPr="008408D6">
        <w:rPr>
          <w:noProof/>
          <w:lang w:val="en-GB" w:eastAsia="en-GB"/>
        </w:rPr>
        <w:drawing>
          <wp:inline distT="0" distB="0" distL="0" distR="0" wp14:anchorId="7037F3DE" wp14:editId="7037F3DF">
            <wp:extent cx="5760720" cy="794825"/>
            <wp:effectExtent l="0" t="0" r="0" b="571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0720" cy="794825"/>
                    </a:xfrm>
                    <a:prstGeom prst="rect">
                      <a:avLst/>
                    </a:prstGeom>
                    <a:noFill/>
                    <a:ln>
                      <a:noFill/>
                    </a:ln>
                  </pic:spPr>
                </pic:pic>
              </a:graphicData>
            </a:graphic>
          </wp:inline>
        </w:drawing>
      </w:r>
    </w:p>
    <w:p w:rsidR="00DB46FF" w:rsidRPr="007853BA" w:rsidRDefault="00054786" w:rsidP="00CD66CA">
      <w:pPr>
        <w:pStyle w:val="ListParagraph"/>
        <w:numPr>
          <w:ilvl w:val="0"/>
          <w:numId w:val="9"/>
        </w:numPr>
        <w:ind w:left="709" w:hanging="709"/>
        <w:jc w:val="both"/>
        <w:rPr>
          <w:rFonts w:ascii="Verdana" w:hAnsi="Verdana"/>
          <w:lang w:val="en-US"/>
        </w:rPr>
      </w:pPr>
      <w:r w:rsidRPr="007853BA">
        <w:rPr>
          <w:rFonts w:ascii="Verdana" w:hAnsi="Verdana"/>
          <w:lang w:val="en-US"/>
        </w:rPr>
        <w:t xml:space="preserve">Cell </w:t>
      </w:r>
      <w:r w:rsidRPr="008620C2">
        <w:rPr>
          <w:rFonts w:ascii="Verdana" w:hAnsi="Verdana"/>
          <w:lang w:val="en-US"/>
        </w:rPr>
        <w:t xml:space="preserve">‘A’ corresponds to the </w:t>
      </w:r>
      <w:r w:rsidR="0023454D">
        <w:rPr>
          <w:rFonts w:ascii="Verdana" w:hAnsi="Verdana"/>
          <w:lang w:val="en-US"/>
        </w:rPr>
        <w:t xml:space="preserve">EoAoL </w:t>
      </w:r>
      <w:r w:rsidR="0065604E" w:rsidRPr="008620C2">
        <w:rPr>
          <w:rFonts w:ascii="Verdana" w:hAnsi="Verdana"/>
          <w:lang w:val="en-US"/>
        </w:rPr>
        <w:t>minus own shares, for</w:t>
      </w:r>
      <w:r w:rsidR="0099711E" w:rsidRPr="008620C2">
        <w:rPr>
          <w:rFonts w:ascii="Verdana" w:hAnsi="Verdana"/>
          <w:lang w:val="en-US"/>
        </w:rPr>
        <w:t>e</w:t>
      </w:r>
      <w:r w:rsidR="0065604E" w:rsidRPr="008620C2">
        <w:rPr>
          <w:rFonts w:ascii="Verdana" w:hAnsi="Verdana"/>
          <w:lang w:val="en-US"/>
        </w:rPr>
        <w:t>s</w:t>
      </w:r>
      <w:r w:rsidR="0099711E" w:rsidRPr="008620C2">
        <w:rPr>
          <w:rFonts w:ascii="Verdana" w:hAnsi="Verdana"/>
          <w:lang w:val="en-US"/>
        </w:rPr>
        <w:t>e</w:t>
      </w:r>
      <w:r w:rsidR="0065604E" w:rsidRPr="008620C2">
        <w:rPr>
          <w:rFonts w:ascii="Verdana" w:hAnsi="Verdana"/>
          <w:lang w:val="en-US"/>
        </w:rPr>
        <w:t>eable dividends, other basic own funds items</w:t>
      </w:r>
      <w:r w:rsidR="0023454D">
        <w:rPr>
          <w:rFonts w:ascii="Verdana" w:hAnsi="Verdana"/>
          <w:lang w:val="en-US"/>
        </w:rPr>
        <w:t>,</w:t>
      </w:r>
      <w:r w:rsidR="0065604E" w:rsidRPr="008620C2">
        <w:rPr>
          <w:rFonts w:ascii="Verdana" w:hAnsi="Verdana"/>
          <w:lang w:val="en-US"/>
        </w:rPr>
        <w:t xml:space="preserve"> and restricted own funds items</w:t>
      </w:r>
      <w:r w:rsidR="00394D25" w:rsidRPr="008620C2">
        <w:rPr>
          <w:rFonts w:ascii="Verdana" w:hAnsi="Verdana"/>
          <w:lang w:val="en-US"/>
        </w:rPr>
        <w:t>.</w:t>
      </w:r>
    </w:p>
    <w:p w:rsidR="00DB46FF" w:rsidRDefault="00DB46FF" w:rsidP="00CD66CA">
      <w:pPr>
        <w:pStyle w:val="ListParagraph"/>
        <w:ind w:left="567"/>
        <w:jc w:val="both"/>
        <w:rPr>
          <w:rFonts w:ascii="Verdana" w:hAnsi="Verdana"/>
          <w:lang w:val="en-US"/>
        </w:rPr>
      </w:pPr>
    </w:p>
    <w:p w:rsidR="00054786" w:rsidRPr="007853BA" w:rsidRDefault="00DB46FF" w:rsidP="00CD66CA">
      <w:pPr>
        <w:pStyle w:val="ListParagraph"/>
        <w:numPr>
          <w:ilvl w:val="0"/>
          <w:numId w:val="9"/>
        </w:numPr>
        <w:ind w:left="709" w:hanging="709"/>
        <w:jc w:val="both"/>
        <w:rPr>
          <w:rFonts w:ascii="Verdana" w:hAnsi="Verdana"/>
          <w:lang w:val="en-US"/>
        </w:rPr>
      </w:pPr>
      <w:r w:rsidRPr="007853BA">
        <w:rPr>
          <w:rFonts w:ascii="Verdana" w:hAnsi="Verdana"/>
          <w:lang w:val="en-US"/>
        </w:rPr>
        <w:t xml:space="preserve">To comply with this approach cells </w:t>
      </w:r>
      <w:r w:rsidR="00136788">
        <w:rPr>
          <w:rFonts w:ascii="Verdana" w:hAnsi="Verdana"/>
          <w:lang w:val="en-US"/>
        </w:rPr>
        <w:t>S.29.01.</w:t>
      </w:r>
      <w:r w:rsidRPr="008620C2">
        <w:rPr>
          <w:rFonts w:ascii="Verdana" w:hAnsi="Verdana"/>
          <w:lang w:val="en-US"/>
        </w:rPr>
        <w:t xml:space="preserve">R0140 to </w:t>
      </w:r>
      <w:r w:rsidRPr="00CD66CA">
        <w:rPr>
          <w:rFonts w:ascii="Verdana" w:hAnsi="Verdana"/>
          <w:lang w:val="en-US"/>
        </w:rPr>
        <w:t>R01</w:t>
      </w:r>
      <w:r w:rsidR="00CD66CA">
        <w:rPr>
          <w:rFonts w:ascii="Verdana" w:hAnsi="Verdana"/>
          <w:lang w:val="en-US"/>
        </w:rPr>
        <w:t>7</w:t>
      </w:r>
      <w:r w:rsidRPr="00CD66CA">
        <w:rPr>
          <w:rFonts w:ascii="Verdana" w:hAnsi="Verdana"/>
          <w:lang w:val="en-US"/>
        </w:rPr>
        <w:t>0</w:t>
      </w:r>
      <w:r w:rsidRPr="007853BA">
        <w:rPr>
          <w:rFonts w:ascii="Verdana" w:hAnsi="Verdana"/>
          <w:lang w:val="en-US"/>
        </w:rPr>
        <w:t xml:space="preserve"> should be reported as positive </w:t>
      </w:r>
      <w:r w:rsidR="00507D76">
        <w:rPr>
          <w:rFonts w:ascii="Verdana" w:hAnsi="Verdana"/>
          <w:lang w:val="en-US"/>
        </w:rPr>
        <w:t xml:space="preserve">amounts </w:t>
      </w:r>
      <w:r w:rsidRPr="007853BA">
        <w:rPr>
          <w:rFonts w:ascii="Verdana" w:hAnsi="Verdana"/>
          <w:lang w:val="en-US"/>
        </w:rPr>
        <w:t xml:space="preserve">if they </w:t>
      </w:r>
      <w:r w:rsidR="00866461">
        <w:rPr>
          <w:rFonts w:ascii="Verdana" w:hAnsi="Verdana"/>
          <w:lang w:val="en-US"/>
        </w:rPr>
        <w:t>are to be deducted from EoAoL to calculate</w:t>
      </w:r>
      <w:r w:rsidRPr="008620C2">
        <w:rPr>
          <w:rFonts w:ascii="Verdana" w:hAnsi="Verdana"/>
          <w:lang w:val="en-US"/>
        </w:rPr>
        <w:t xml:space="preserve"> the reconciliation reserve</w:t>
      </w:r>
      <w:r w:rsidRPr="007853BA">
        <w:rPr>
          <w:rFonts w:ascii="Verdana" w:hAnsi="Verdana"/>
          <w:lang w:val="en-US"/>
        </w:rPr>
        <w:t>.</w:t>
      </w:r>
    </w:p>
    <w:p w:rsidR="00A321C6" w:rsidRPr="00CD66CA" w:rsidRDefault="00A321C6" w:rsidP="00CD66CA">
      <w:pPr>
        <w:pStyle w:val="ListParagraph"/>
        <w:ind w:left="567"/>
        <w:jc w:val="both"/>
        <w:rPr>
          <w:rFonts w:ascii="Verdana" w:hAnsi="Verdana"/>
          <w:lang w:val="en-US"/>
        </w:rPr>
      </w:pPr>
    </w:p>
    <w:p w:rsidR="008408D6" w:rsidRPr="007853BA" w:rsidRDefault="0099711E" w:rsidP="00CD66CA">
      <w:pPr>
        <w:pStyle w:val="ListParagraph"/>
        <w:numPr>
          <w:ilvl w:val="0"/>
          <w:numId w:val="9"/>
        </w:numPr>
        <w:ind w:left="709" w:hanging="709"/>
        <w:jc w:val="both"/>
        <w:rPr>
          <w:rFonts w:ascii="Verdana" w:hAnsi="Verdana"/>
          <w:lang w:val="en-US"/>
        </w:rPr>
      </w:pPr>
      <w:r w:rsidRPr="007853BA">
        <w:rPr>
          <w:rFonts w:ascii="Verdana" w:hAnsi="Verdana"/>
          <w:lang w:val="en-US"/>
        </w:rPr>
        <w:t xml:space="preserve">Finally, an </w:t>
      </w:r>
      <w:r w:rsidR="00054786" w:rsidRPr="008620C2">
        <w:rPr>
          <w:rFonts w:ascii="Verdana" w:hAnsi="Verdana"/>
          <w:lang w:val="en-US"/>
        </w:rPr>
        <w:t>analysis</w:t>
      </w:r>
      <w:r w:rsidRPr="008620C2">
        <w:rPr>
          <w:rFonts w:ascii="Verdana" w:hAnsi="Verdana"/>
          <w:lang w:val="en-US"/>
        </w:rPr>
        <w:t xml:space="preserve"> </w:t>
      </w:r>
      <w:r w:rsidR="00507D76">
        <w:rPr>
          <w:rFonts w:ascii="Verdana" w:hAnsi="Verdana"/>
          <w:lang w:val="en-US"/>
        </w:rPr>
        <w:t xml:space="preserve">on cell “B” - Variation of </w:t>
      </w:r>
      <w:r w:rsidR="00B7190B">
        <w:rPr>
          <w:rFonts w:ascii="Verdana" w:hAnsi="Verdana"/>
          <w:lang w:val="en-US"/>
        </w:rPr>
        <w:t xml:space="preserve">EoAoL </w:t>
      </w:r>
      <w:r w:rsidR="00507D76">
        <w:rPr>
          <w:rFonts w:ascii="Verdana" w:hAnsi="Verdana"/>
          <w:lang w:val="en-US"/>
        </w:rPr>
        <w:t xml:space="preserve">- </w:t>
      </w:r>
      <w:r w:rsidRPr="008620C2">
        <w:rPr>
          <w:rFonts w:ascii="Verdana" w:hAnsi="Verdana"/>
          <w:lang w:val="en-US"/>
        </w:rPr>
        <w:t>by origin is done</w:t>
      </w:r>
      <w:r w:rsidR="008408D6" w:rsidRPr="008620C2">
        <w:rPr>
          <w:rFonts w:ascii="Verdana" w:hAnsi="Verdana"/>
          <w:lang w:val="en-US"/>
        </w:rPr>
        <w:t>:</w:t>
      </w:r>
    </w:p>
    <w:p w:rsidR="008408D6" w:rsidRDefault="00F53012" w:rsidP="00A321C6">
      <w:pPr>
        <w:ind w:left="426"/>
        <w:jc w:val="both"/>
        <w:rPr>
          <w:lang w:val="en-US"/>
        </w:rPr>
      </w:pPr>
      <w:r w:rsidRPr="00F53012">
        <w:rPr>
          <w:noProof/>
          <w:lang w:val="en-GB" w:eastAsia="en-GB"/>
        </w:rPr>
        <w:drawing>
          <wp:inline distT="0" distB="0" distL="0" distR="0" wp14:anchorId="6DABF92F" wp14:editId="5870D40E">
            <wp:extent cx="5760720" cy="907045"/>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0720" cy="907045"/>
                    </a:xfrm>
                    <a:prstGeom prst="rect">
                      <a:avLst/>
                    </a:prstGeom>
                    <a:noFill/>
                    <a:ln>
                      <a:noFill/>
                    </a:ln>
                  </pic:spPr>
                </pic:pic>
              </a:graphicData>
            </a:graphic>
          </wp:inline>
        </w:drawing>
      </w:r>
    </w:p>
    <w:p w:rsidR="00DB46FF" w:rsidRPr="007853BA" w:rsidRDefault="008408D6" w:rsidP="00CD66CA">
      <w:pPr>
        <w:pStyle w:val="ListParagraph"/>
        <w:numPr>
          <w:ilvl w:val="0"/>
          <w:numId w:val="9"/>
        </w:numPr>
        <w:ind w:left="709" w:hanging="709"/>
        <w:jc w:val="both"/>
        <w:rPr>
          <w:rFonts w:ascii="Verdana" w:hAnsi="Verdana"/>
          <w:lang w:val="en-US"/>
        </w:rPr>
      </w:pPr>
      <w:r w:rsidRPr="007853BA">
        <w:rPr>
          <w:rFonts w:ascii="Verdana" w:hAnsi="Verdana"/>
          <w:lang w:val="en-US"/>
        </w:rPr>
        <w:t>The total of these rows corresponds to “B”.</w:t>
      </w:r>
      <w:r w:rsidR="00DB46FF" w:rsidRPr="008620C2">
        <w:rPr>
          <w:rFonts w:ascii="Verdana" w:hAnsi="Verdana"/>
          <w:lang w:val="en-US"/>
        </w:rPr>
        <w:t xml:space="preserve"> To comply with this approach the </w:t>
      </w:r>
      <w:r w:rsidR="00F53012">
        <w:rPr>
          <w:rFonts w:ascii="Verdana" w:hAnsi="Verdana"/>
          <w:lang w:val="en-US"/>
        </w:rPr>
        <w:t xml:space="preserve">amounts should be reported </w:t>
      </w:r>
      <w:r w:rsidR="00DB46FF" w:rsidRPr="008620C2">
        <w:rPr>
          <w:rFonts w:ascii="Verdana" w:hAnsi="Verdana"/>
          <w:lang w:val="en-US"/>
        </w:rPr>
        <w:t>positive or negative according to the</w:t>
      </w:r>
      <w:r w:rsidR="00B7190B">
        <w:rPr>
          <w:rFonts w:ascii="Verdana" w:hAnsi="Verdana"/>
          <w:lang w:val="en-US"/>
        </w:rPr>
        <w:t>ir</w:t>
      </w:r>
      <w:r w:rsidR="00DB46FF" w:rsidRPr="008620C2">
        <w:rPr>
          <w:rFonts w:ascii="Verdana" w:hAnsi="Verdana"/>
          <w:lang w:val="en-US"/>
        </w:rPr>
        <w:t xml:space="preserve"> contribution to the variation of the EoAoL. Amounts should be reported positive if they increase the variation and negative if they decrease the variation of </w:t>
      </w:r>
      <w:r w:rsidR="0023454D">
        <w:rPr>
          <w:rFonts w:ascii="Verdana" w:hAnsi="Verdana"/>
          <w:lang w:val="en-US"/>
        </w:rPr>
        <w:t>EoAoL</w:t>
      </w:r>
      <w:r w:rsidR="00DB46FF" w:rsidRPr="008620C2">
        <w:rPr>
          <w:rFonts w:ascii="Verdana" w:hAnsi="Verdana"/>
          <w:lang w:val="en-US"/>
        </w:rPr>
        <w:t xml:space="preserve">. For example, in </w:t>
      </w:r>
      <w:r w:rsidR="00136788">
        <w:rPr>
          <w:rFonts w:ascii="Verdana" w:hAnsi="Verdana"/>
          <w:lang w:val="en-US"/>
        </w:rPr>
        <w:t>S.29.01.</w:t>
      </w:r>
      <w:r w:rsidR="00DB46FF" w:rsidRPr="008620C2">
        <w:rPr>
          <w:rFonts w:ascii="Verdana" w:hAnsi="Verdana"/>
          <w:lang w:val="en-US"/>
        </w:rPr>
        <w:t xml:space="preserve">R0200 a decrease of </w:t>
      </w:r>
      <w:r w:rsidR="00B7190B">
        <w:rPr>
          <w:rFonts w:ascii="Verdana" w:hAnsi="Verdana"/>
          <w:lang w:val="en-US"/>
        </w:rPr>
        <w:t>t</w:t>
      </w:r>
      <w:r w:rsidR="00DB46FF" w:rsidRPr="008620C2">
        <w:rPr>
          <w:rFonts w:ascii="Verdana" w:hAnsi="Verdana"/>
          <w:lang w:val="en-US"/>
        </w:rPr>
        <w:t xml:space="preserve">echnical </w:t>
      </w:r>
      <w:r w:rsidR="00B7190B">
        <w:rPr>
          <w:rFonts w:ascii="Verdana" w:hAnsi="Verdana"/>
          <w:lang w:val="en-US"/>
        </w:rPr>
        <w:t>p</w:t>
      </w:r>
      <w:r w:rsidR="00DB46FF" w:rsidRPr="008620C2">
        <w:rPr>
          <w:rFonts w:ascii="Verdana" w:hAnsi="Verdana"/>
          <w:lang w:val="en-US"/>
        </w:rPr>
        <w:t xml:space="preserve">rovisions is reported as a positive amount </w:t>
      </w:r>
      <w:r w:rsidR="00CD66CA" w:rsidRPr="008620C2">
        <w:rPr>
          <w:rFonts w:ascii="Verdana" w:hAnsi="Verdana"/>
          <w:lang w:val="en-US"/>
        </w:rPr>
        <w:t>as it positively contributes to the EoAoL</w:t>
      </w:r>
      <w:r w:rsidR="00DB46FF" w:rsidRPr="008620C2">
        <w:rPr>
          <w:rFonts w:ascii="Verdana" w:hAnsi="Verdana"/>
          <w:lang w:val="en-US"/>
        </w:rPr>
        <w:t xml:space="preserve"> (please see BV144 of the list of validations). </w:t>
      </w:r>
    </w:p>
    <w:p w:rsidR="009062EC" w:rsidRDefault="009062EC" w:rsidP="009062EC">
      <w:pPr>
        <w:pStyle w:val="ListParagraph"/>
        <w:ind w:left="709"/>
        <w:jc w:val="both"/>
        <w:rPr>
          <w:rFonts w:ascii="Verdana" w:hAnsi="Verdana"/>
          <w:lang w:val="en-US"/>
        </w:rPr>
      </w:pPr>
    </w:p>
    <w:p w:rsidR="00203AF7" w:rsidRDefault="00203AF7" w:rsidP="00203AF7">
      <w:pPr>
        <w:pStyle w:val="ListParagraph"/>
        <w:numPr>
          <w:ilvl w:val="0"/>
          <w:numId w:val="9"/>
        </w:numPr>
        <w:ind w:left="709" w:hanging="709"/>
        <w:jc w:val="both"/>
        <w:rPr>
          <w:rFonts w:ascii="Verdana" w:hAnsi="Verdana"/>
          <w:lang w:val="en-US"/>
        </w:rPr>
      </w:pPr>
      <w:r>
        <w:rPr>
          <w:rFonts w:ascii="Verdana" w:eastAsia="Verdana" w:hAnsi="Verdana" w:cs="Verdana"/>
          <w:lang w:val="en-US"/>
        </w:rPr>
        <w:t>I</w:t>
      </w:r>
      <w:r w:rsidRPr="00AD7EC0">
        <w:rPr>
          <w:rFonts w:ascii="Verdana" w:eastAsia="Verdana" w:hAnsi="Verdana" w:cs="Verdana"/>
          <w:lang w:val="en-US"/>
        </w:rPr>
        <w:t>t</w:t>
      </w:r>
      <w:r w:rsidRPr="007853BA">
        <w:rPr>
          <w:rFonts w:ascii="Verdana" w:hAnsi="Verdana"/>
          <w:lang w:val="en-US"/>
        </w:rPr>
        <w:t xml:space="preserve"> is n</w:t>
      </w:r>
      <w:r w:rsidRPr="007140FC">
        <w:rPr>
          <w:rFonts w:ascii="Verdana" w:hAnsi="Verdana"/>
          <w:lang w:val="en-US"/>
        </w:rPr>
        <w:t xml:space="preserve">ot the intention </w:t>
      </w:r>
      <w:r>
        <w:rPr>
          <w:rFonts w:ascii="Verdana" w:hAnsi="Verdana"/>
          <w:lang w:val="en-US"/>
        </w:rPr>
        <w:t xml:space="preserve">of this part of the template </w:t>
      </w:r>
      <w:r w:rsidRPr="007853BA">
        <w:rPr>
          <w:rFonts w:ascii="Verdana" w:hAnsi="Verdana"/>
          <w:lang w:val="en-US"/>
        </w:rPr>
        <w:t>to requir</w:t>
      </w:r>
      <w:r w:rsidRPr="007140FC">
        <w:rPr>
          <w:rFonts w:ascii="Verdana" w:hAnsi="Verdana"/>
          <w:lang w:val="en-US"/>
        </w:rPr>
        <w:t xml:space="preserve">e a </w:t>
      </w:r>
      <w:r w:rsidRPr="2F4470A3">
        <w:rPr>
          <w:rFonts w:ascii="Verdana" w:hAnsi="Verdana"/>
          <w:lang w:val="en-US"/>
        </w:rPr>
        <w:t xml:space="preserve">detailed </w:t>
      </w:r>
      <w:r w:rsidRPr="007853BA">
        <w:rPr>
          <w:rFonts w:ascii="Verdana" w:hAnsi="Verdana"/>
          <w:lang w:val="en-US"/>
        </w:rPr>
        <w:t xml:space="preserve">record </w:t>
      </w:r>
      <w:r w:rsidRPr="007140FC">
        <w:rPr>
          <w:rFonts w:ascii="Verdana" w:hAnsi="Verdana"/>
          <w:lang w:val="en-US"/>
        </w:rPr>
        <w:t xml:space="preserve">of all </w:t>
      </w:r>
      <w:r>
        <w:rPr>
          <w:rFonts w:ascii="Verdana" w:hAnsi="Verdana"/>
          <w:lang w:val="en-US"/>
        </w:rPr>
        <w:t>variations</w:t>
      </w:r>
      <w:r w:rsidRPr="007140FC">
        <w:rPr>
          <w:rFonts w:ascii="Verdana" w:hAnsi="Verdana"/>
          <w:lang w:val="en-US"/>
        </w:rPr>
        <w:t xml:space="preserve">. </w:t>
      </w:r>
      <w:r w:rsidRPr="2F4470A3">
        <w:rPr>
          <w:rFonts w:ascii="Verdana" w:hAnsi="Verdana"/>
          <w:lang w:val="en-US"/>
        </w:rPr>
        <w:t>Undertakings are allowed to use</w:t>
      </w:r>
      <w:r w:rsidRPr="007140FC">
        <w:rPr>
          <w:rFonts w:ascii="Verdana" w:hAnsi="Verdana"/>
          <w:lang w:val="en-US"/>
        </w:rPr>
        <w:t xml:space="preserve"> </w:t>
      </w:r>
      <w:r w:rsidRPr="00AD7EC0">
        <w:rPr>
          <w:rFonts w:ascii="Verdana" w:eastAsia="Verdana" w:hAnsi="Verdana" w:cs="Verdana"/>
          <w:lang w:val="en-US"/>
        </w:rPr>
        <w:t>a</w:t>
      </w:r>
      <w:r w:rsidRPr="00FA1A3E">
        <w:rPr>
          <w:rFonts w:ascii="Verdana" w:hAnsi="Verdana"/>
          <w:lang w:val="en-US"/>
        </w:rPr>
        <w:t>pproximations</w:t>
      </w:r>
      <w:r w:rsidRPr="007853BA">
        <w:rPr>
          <w:rFonts w:ascii="Verdana" w:hAnsi="Verdana"/>
          <w:lang w:val="en-US"/>
        </w:rPr>
        <w:t xml:space="preserve"> </w:t>
      </w:r>
      <w:r w:rsidRPr="2F4470A3">
        <w:rPr>
          <w:rFonts w:ascii="Verdana" w:hAnsi="Verdana"/>
          <w:lang w:val="en-US"/>
        </w:rPr>
        <w:t>to derive th</w:t>
      </w:r>
      <w:r w:rsidRPr="007140FC">
        <w:rPr>
          <w:rFonts w:ascii="Verdana" w:hAnsi="Verdana"/>
          <w:lang w:val="en-US"/>
        </w:rPr>
        <w:t xml:space="preserve">ese </w:t>
      </w:r>
      <w:r w:rsidRPr="00AD7EC0">
        <w:rPr>
          <w:rFonts w:ascii="Verdana" w:eastAsia="Verdana" w:hAnsi="Verdana" w:cs="Verdana"/>
          <w:lang w:val="en-US"/>
        </w:rPr>
        <w:t>amounts</w:t>
      </w:r>
      <w:r w:rsidRPr="00FA1A3E">
        <w:rPr>
          <w:rFonts w:ascii="Verdana" w:hAnsi="Verdana"/>
          <w:lang w:val="en-US"/>
        </w:rPr>
        <w:t>.</w:t>
      </w:r>
      <w:r w:rsidRPr="007853BA">
        <w:rPr>
          <w:rFonts w:ascii="Verdana" w:hAnsi="Verdana"/>
          <w:lang w:val="en-US"/>
        </w:rPr>
        <w:t xml:space="preserve"> One way to assess </w:t>
      </w:r>
      <w:r w:rsidRPr="00AD7EC0">
        <w:rPr>
          <w:rFonts w:ascii="Verdana" w:eastAsia="Verdana" w:hAnsi="Verdana" w:cs="Verdana"/>
          <w:lang w:val="en-US"/>
        </w:rPr>
        <w:t>these</w:t>
      </w:r>
      <w:r w:rsidRPr="007853BA">
        <w:rPr>
          <w:rFonts w:ascii="Verdana" w:hAnsi="Verdana"/>
          <w:lang w:val="en-US"/>
        </w:rPr>
        <w:t xml:space="preserve"> amounts</w:t>
      </w:r>
      <w:r w:rsidRPr="007140FC">
        <w:rPr>
          <w:rFonts w:ascii="Verdana" w:hAnsi="Verdana"/>
          <w:lang w:val="en-US"/>
        </w:rPr>
        <w:t xml:space="preserve"> may be to start by filing</w:t>
      </w:r>
      <w:r>
        <w:rPr>
          <w:rFonts w:ascii="Verdana" w:hAnsi="Verdana"/>
          <w:lang w:val="en-US"/>
        </w:rPr>
        <w:t xml:space="preserve"> out</w:t>
      </w:r>
      <w:r w:rsidRPr="007140FC">
        <w:rPr>
          <w:rFonts w:ascii="Verdana" w:hAnsi="Verdana"/>
          <w:lang w:val="en-US"/>
        </w:rPr>
        <w:t xml:space="preserve"> </w:t>
      </w:r>
      <w:r>
        <w:rPr>
          <w:rFonts w:ascii="Verdana" w:hAnsi="Verdana"/>
          <w:lang w:val="en-US"/>
        </w:rPr>
        <w:t>S.</w:t>
      </w:r>
      <w:r w:rsidRPr="007140FC">
        <w:rPr>
          <w:rFonts w:ascii="Verdana" w:hAnsi="Verdana"/>
          <w:lang w:val="en-US"/>
        </w:rPr>
        <w:t xml:space="preserve">29.02 and </w:t>
      </w:r>
      <w:r>
        <w:rPr>
          <w:rFonts w:ascii="Verdana" w:hAnsi="Verdana"/>
          <w:lang w:val="en-US"/>
        </w:rPr>
        <w:t>S.</w:t>
      </w:r>
      <w:r w:rsidRPr="007140FC">
        <w:rPr>
          <w:rFonts w:ascii="Verdana" w:hAnsi="Verdana"/>
          <w:lang w:val="en-US"/>
        </w:rPr>
        <w:t xml:space="preserve">29.03 </w:t>
      </w:r>
      <w:r>
        <w:rPr>
          <w:rFonts w:ascii="Verdana" w:hAnsi="Verdana"/>
          <w:lang w:val="en-US"/>
        </w:rPr>
        <w:t xml:space="preserve">(to arrive to the amounts to be reported in S.29.01.R0190 and R0200) </w:t>
      </w:r>
      <w:r w:rsidRPr="007140FC">
        <w:rPr>
          <w:rFonts w:ascii="Verdana" w:hAnsi="Verdana"/>
          <w:lang w:val="en-US"/>
        </w:rPr>
        <w:t xml:space="preserve">as long as undertakings are able to explain the </w:t>
      </w:r>
      <w:r w:rsidRPr="007853BA">
        <w:rPr>
          <w:rFonts w:ascii="Verdana" w:hAnsi="Verdana"/>
          <w:lang w:val="en-US"/>
        </w:rPr>
        <w:t>amounts</w:t>
      </w:r>
      <w:r w:rsidRPr="007140FC">
        <w:rPr>
          <w:rFonts w:ascii="Verdana" w:hAnsi="Verdana"/>
          <w:lang w:val="en-US"/>
        </w:rPr>
        <w:t xml:space="preserve"> reported in </w:t>
      </w:r>
      <w:r>
        <w:rPr>
          <w:rFonts w:ascii="Verdana" w:hAnsi="Verdana"/>
          <w:lang w:val="en-US"/>
        </w:rPr>
        <w:t>S.29.01.</w:t>
      </w:r>
      <w:r w:rsidRPr="007140FC">
        <w:rPr>
          <w:rFonts w:ascii="Verdana" w:hAnsi="Verdana"/>
          <w:lang w:val="en-US"/>
        </w:rPr>
        <w:t>R02</w:t>
      </w:r>
      <w:r>
        <w:rPr>
          <w:rFonts w:ascii="Verdana" w:hAnsi="Verdana"/>
          <w:lang w:val="en-US"/>
        </w:rPr>
        <w:t>5</w:t>
      </w:r>
      <w:r w:rsidRPr="007140FC">
        <w:rPr>
          <w:rFonts w:ascii="Verdana" w:hAnsi="Verdana"/>
          <w:lang w:val="en-US"/>
        </w:rPr>
        <w:t>0</w:t>
      </w:r>
      <w:r>
        <w:rPr>
          <w:rFonts w:ascii="Verdana" w:hAnsi="Verdana"/>
          <w:lang w:val="en-US"/>
        </w:rPr>
        <w:t>, if material</w:t>
      </w:r>
      <w:r w:rsidRPr="00FA1A3E">
        <w:rPr>
          <w:rFonts w:ascii="Verdana" w:hAnsi="Verdana"/>
          <w:lang w:val="en-US"/>
        </w:rPr>
        <w:t>.</w:t>
      </w:r>
      <w:r w:rsidRPr="007853BA">
        <w:rPr>
          <w:rFonts w:ascii="Verdana" w:hAnsi="Verdana"/>
          <w:lang w:val="en-US"/>
        </w:rPr>
        <w:t xml:space="preserve"> </w:t>
      </w:r>
    </w:p>
    <w:p w:rsidR="00747928" w:rsidRPr="003C65DB" w:rsidRDefault="00747928" w:rsidP="004C3B3D">
      <w:pPr>
        <w:pStyle w:val="ListParagraph"/>
        <w:rPr>
          <w:rFonts w:ascii="Verdana" w:hAnsi="Verdana"/>
          <w:lang w:val="en-US"/>
        </w:rPr>
      </w:pPr>
    </w:p>
    <w:p w:rsidR="00747928" w:rsidRDefault="00747928" w:rsidP="00203AF7">
      <w:pPr>
        <w:pStyle w:val="ListParagraph"/>
        <w:numPr>
          <w:ilvl w:val="0"/>
          <w:numId w:val="9"/>
        </w:numPr>
        <w:ind w:left="709" w:hanging="709"/>
        <w:jc w:val="both"/>
        <w:rPr>
          <w:rFonts w:ascii="Verdana" w:hAnsi="Verdana"/>
          <w:lang w:val="en-US"/>
        </w:rPr>
      </w:pPr>
      <w:r>
        <w:rPr>
          <w:rFonts w:ascii="Verdana" w:hAnsi="Verdana"/>
          <w:lang w:val="en-US"/>
        </w:rPr>
        <w:t>Please note that S.29.01.R0190 shou</w:t>
      </w:r>
      <w:r w:rsidR="00492492">
        <w:rPr>
          <w:rFonts w:ascii="Verdana" w:hAnsi="Verdana"/>
          <w:lang w:val="en-US"/>
        </w:rPr>
        <w:t>l</w:t>
      </w:r>
      <w:r>
        <w:rPr>
          <w:rFonts w:ascii="Verdana" w:hAnsi="Verdana"/>
          <w:lang w:val="en-US"/>
        </w:rPr>
        <w:t xml:space="preserve">d be the same as </w:t>
      </w:r>
      <w:r w:rsidR="00AF1CE3" w:rsidRPr="00BB09C7">
        <w:rPr>
          <w:rFonts w:ascii="Verdana" w:hAnsi="Verdana"/>
          <w:color w:val="FF0000"/>
          <w:lang w:val="en-US"/>
        </w:rPr>
        <w:t xml:space="preserve">the sum of S.29.02.R0010, S.29.02.R0030, S.29.02.R0040 </w:t>
      </w:r>
      <w:r w:rsidR="0036619B" w:rsidRPr="00BB09C7">
        <w:rPr>
          <w:rFonts w:ascii="Verdana" w:hAnsi="Verdana"/>
          <w:color w:val="FF0000"/>
          <w:lang w:val="en-US"/>
        </w:rPr>
        <w:t>minus</w:t>
      </w:r>
      <w:r w:rsidR="00AF1CE3" w:rsidRPr="00BB09C7">
        <w:rPr>
          <w:rFonts w:ascii="Verdana" w:hAnsi="Verdana"/>
          <w:color w:val="FF0000"/>
          <w:lang w:val="en-US"/>
        </w:rPr>
        <w:t xml:space="preserve"> S.29.02.R0050</w:t>
      </w:r>
      <w:r w:rsidR="00AF1CE3">
        <w:rPr>
          <w:rFonts w:ascii="Verdana" w:hAnsi="Verdana"/>
          <w:lang w:val="en-US"/>
        </w:rPr>
        <w:t xml:space="preserve"> </w:t>
      </w:r>
      <w:r>
        <w:rPr>
          <w:rFonts w:ascii="Verdana" w:hAnsi="Verdana"/>
          <w:lang w:val="en-US"/>
        </w:rPr>
        <w:t xml:space="preserve">and S.29.01.R0200 should be the same as in S.29.03.R0360 + R0370. </w:t>
      </w:r>
    </w:p>
    <w:p w:rsidR="00E1158E" w:rsidRDefault="00E1158E" w:rsidP="00A3469F">
      <w:pPr>
        <w:pStyle w:val="ListParagraph"/>
        <w:ind w:left="709"/>
        <w:jc w:val="both"/>
        <w:rPr>
          <w:rFonts w:ascii="Verdana" w:hAnsi="Verdana"/>
          <w:lang w:val="en-US"/>
        </w:rPr>
      </w:pPr>
    </w:p>
    <w:p w:rsidR="00A33872" w:rsidRPr="007853BA" w:rsidRDefault="00A33872" w:rsidP="00FF4BCA">
      <w:pPr>
        <w:pStyle w:val="ListParagraph"/>
        <w:numPr>
          <w:ilvl w:val="0"/>
          <w:numId w:val="9"/>
        </w:numPr>
        <w:ind w:left="709" w:hanging="709"/>
        <w:jc w:val="both"/>
        <w:rPr>
          <w:rFonts w:ascii="Verdana" w:hAnsi="Verdana"/>
          <w:lang w:val="en-US"/>
        </w:rPr>
      </w:pPr>
      <w:r w:rsidRPr="007853BA">
        <w:rPr>
          <w:rFonts w:ascii="Verdana" w:hAnsi="Verdana"/>
          <w:lang w:val="en-US"/>
        </w:rPr>
        <w:t xml:space="preserve">The amount reported in </w:t>
      </w:r>
      <w:r w:rsidR="00136788">
        <w:rPr>
          <w:rFonts w:ascii="Verdana" w:hAnsi="Verdana"/>
          <w:lang w:val="en-US"/>
        </w:rPr>
        <w:t>S.29.01.</w:t>
      </w:r>
      <w:r w:rsidRPr="007853BA">
        <w:rPr>
          <w:rFonts w:ascii="Verdana" w:hAnsi="Verdana"/>
          <w:lang w:val="en-US"/>
        </w:rPr>
        <w:t xml:space="preserve">R0190 </w:t>
      </w:r>
      <w:r w:rsidR="00F53012">
        <w:rPr>
          <w:rFonts w:ascii="Verdana" w:hAnsi="Verdana"/>
          <w:lang w:val="en-US"/>
        </w:rPr>
        <w:t xml:space="preserve">- </w:t>
      </w:r>
      <w:r w:rsidR="00F53012" w:rsidRPr="00F53012">
        <w:rPr>
          <w:rFonts w:ascii="Verdana" w:hAnsi="Verdana"/>
          <w:lang w:val="en-US"/>
        </w:rPr>
        <w:t>Variations due to investments and financial liabilities</w:t>
      </w:r>
      <w:r w:rsidR="00F53012">
        <w:rPr>
          <w:rFonts w:ascii="Verdana" w:hAnsi="Verdana"/>
          <w:lang w:val="en-US"/>
        </w:rPr>
        <w:t xml:space="preserve"> - </w:t>
      </w:r>
      <w:r w:rsidRPr="007853BA">
        <w:rPr>
          <w:rFonts w:ascii="Verdana" w:hAnsi="Verdana"/>
          <w:lang w:val="en-US"/>
        </w:rPr>
        <w:t xml:space="preserve">will </w:t>
      </w:r>
      <w:r w:rsidR="00FF4BCA">
        <w:rPr>
          <w:rFonts w:ascii="Verdana" w:hAnsi="Verdana"/>
          <w:lang w:val="en-US"/>
        </w:rPr>
        <w:t xml:space="preserve">be </w:t>
      </w:r>
      <w:r w:rsidRPr="007853BA">
        <w:rPr>
          <w:rFonts w:ascii="Verdana" w:hAnsi="Verdana"/>
          <w:lang w:val="en-US"/>
        </w:rPr>
        <w:t xml:space="preserve">further explained in template S.29.02. </w:t>
      </w:r>
      <w:r w:rsidR="00A960F9">
        <w:rPr>
          <w:rFonts w:ascii="Verdana" w:hAnsi="Verdana"/>
          <w:lang w:val="en-US"/>
        </w:rPr>
        <w:t>This amount</w:t>
      </w:r>
      <w:r w:rsidR="00F53012">
        <w:rPr>
          <w:rFonts w:ascii="Verdana" w:hAnsi="Verdana"/>
          <w:lang w:val="en-US"/>
        </w:rPr>
        <w:t xml:space="preserve"> should correspond to </w:t>
      </w:r>
      <w:r w:rsidR="001F3AFD">
        <w:rPr>
          <w:rFonts w:ascii="Verdana" w:hAnsi="Verdana"/>
          <w:lang w:val="en-US"/>
        </w:rPr>
        <w:t xml:space="preserve">the sum of </w:t>
      </w:r>
      <w:r w:rsidR="00F53012">
        <w:rPr>
          <w:rFonts w:ascii="Verdana" w:hAnsi="Verdana"/>
          <w:lang w:val="en-US"/>
        </w:rPr>
        <w:t>S.29.02</w:t>
      </w:r>
      <w:r w:rsidR="00136788">
        <w:rPr>
          <w:rFonts w:ascii="Verdana" w:hAnsi="Verdana"/>
          <w:lang w:val="en-US"/>
        </w:rPr>
        <w:t>.</w:t>
      </w:r>
      <w:r w:rsidR="00F53012">
        <w:rPr>
          <w:rFonts w:ascii="Verdana" w:hAnsi="Verdana"/>
          <w:lang w:val="en-US"/>
        </w:rPr>
        <w:t>R0010</w:t>
      </w:r>
      <w:r w:rsidR="001F3AFD">
        <w:rPr>
          <w:rFonts w:ascii="Verdana" w:hAnsi="Verdana"/>
          <w:lang w:val="en-US"/>
        </w:rPr>
        <w:t>,</w:t>
      </w:r>
      <w:r w:rsidR="00F53012">
        <w:rPr>
          <w:rFonts w:ascii="Verdana" w:hAnsi="Verdana"/>
          <w:lang w:val="en-US"/>
        </w:rPr>
        <w:t xml:space="preserve"> </w:t>
      </w:r>
      <w:r w:rsidR="00136788">
        <w:rPr>
          <w:rFonts w:ascii="Verdana" w:hAnsi="Verdana"/>
          <w:lang w:val="en-US"/>
        </w:rPr>
        <w:t>S.29.02.</w:t>
      </w:r>
      <w:r w:rsidR="00F53012">
        <w:rPr>
          <w:rFonts w:ascii="Verdana" w:hAnsi="Verdana"/>
          <w:lang w:val="en-US"/>
        </w:rPr>
        <w:t>R0030</w:t>
      </w:r>
      <w:r w:rsidR="001F3AFD">
        <w:rPr>
          <w:rFonts w:ascii="Verdana" w:hAnsi="Verdana"/>
          <w:lang w:val="en-US"/>
        </w:rPr>
        <w:t>,</w:t>
      </w:r>
      <w:r w:rsidR="00F53012">
        <w:rPr>
          <w:rFonts w:ascii="Verdana" w:hAnsi="Verdana"/>
          <w:lang w:val="en-US"/>
        </w:rPr>
        <w:t xml:space="preserve"> </w:t>
      </w:r>
      <w:r w:rsidR="00136788">
        <w:rPr>
          <w:rFonts w:ascii="Verdana" w:hAnsi="Verdana"/>
          <w:lang w:val="en-US"/>
        </w:rPr>
        <w:t>S.29.02.</w:t>
      </w:r>
      <w:r w:rsidR="00F53012">
        <w:rPr>
          <w:rFonts w:ascii="Verdana" w:hAnsi="Verdana"/>
          <w:lang w:val="en-US"/>
        </w:rPr>
        <w:t xml:space="preserve">R0040 </w:t>
      </w:r>
      <w:r w:rsidR="0036619B" w:rsidRPr="00BB09C7">
        <w:rPr>
          <w:rFonts w:ascii="Verdana" w:hAnsi="Verdana"/>
          <w:color w:val="FF0000"/>
          <w:lang w:val="en-US"/>
        </w:rPr>
        <w:t>minus</w:t>
      </w:r>
      <w:r w:rsidR="0036619B">
        <w:rPr>
          <w:rFonts w:ascii="Verdana" w:hAnsi="Verdana"/>
          <w:lang w:val="en-US"/>
        </w:rPr>
        <w:t xml:space="preserve"> </w:t>
      </w:r>
      <w:r w:rsidR="00136788">
        <w:rPr>
          <w:rFonts w:ascii="Verdana" w:hAnsi="Verdana"/>
          <w:lang w:val="en-US"/>
        </w:rPr>
        <w:t>S.29.02.</w:t>
      </w:r>
      <w:r w:rsidR="00F53012">
        <w:rPr>
          <w:rFonts w:ascii="Verdana" w:hAnsi="Verdana"/>
          <w:lang w:val="en-US"/>
        </w:rPr>
        <w:t xml:space="preserve">R0050. </w:t>
      </w:r>
      <w:r w:rsidR="00FF4BCA">
        <w:rPr>
          <w:rFonts w:ascii="Verdana" w:hAnsi="Verdana"/>
          <w:lang w:val="en-US"/>
        </w:rPr>
        <w:t>When</w:t>
      </w:r>
      <w:r w:rsidR="001F3AFD" w:rsidRPr="008620C2">
        <w:rPr>
          <w:rFonts w:ascii="Verdana" w:hAnsi="Verdana"/>
          <w:lang w:val="en-US"/>
        </w:rPr>
        <w:t xml:space="preserve"> </w:t>
      </w:r>
      <w:r w:rsidRPr="008620C2">
        <w:rPr>
          <w:rFonts w:ascii="Verdana" w:hAnsi="Verdana"/>
          <w:lang w:val="en-US"/>
        </w:rPr>
        <w:t xml:space="preserve">filling </w:t>
      </w:r>
      <w:r w:rsidRPr="001D7212">
        <w:rPr>
          <w:rFonts w:ascii="Verdana" w:hAnsi="Verdana"/>
          <w:lang w:val="en-US"/>
        </w:rPr>
        <w:t xml:space="preserve">this </w:t>
      </w:r>
      <w:r w:rsidR="005136FE" w:rsidRPr="001D7212">
        <w:rPr>
          <w:rFonts w:ascii="Verdana" w:hAnsi="Verdana"/>
          <w:lang w:val="en-US"/>
        </w:rPr>
        <w:t>cell,</w:t>
      </w:r>
      <w:r w:rsidRPr="001D7212">
        <w:rPr>
          <w:rFonts w:ascii="Verdana" w:hAnsi="Verdana"/>
          <w:lang w:val="en-US"/>
        </w:rPr>
        <w:t xml:space="preserve"> it is important to understand the scope of “Investments” and “Financial Liabilities”.</w:t>
      </w:r>
      <w:r w:rsidR="00621C84">
        <w:rPr>
          <w:rFonts w:ascii="Verdana" w:hAnsi="Verdana"/>
          <w:lang w:val="en-US"/>
        </w:rPr>
        <w:t xml:space="preserve"> </w:t>
      </w:r>
    </w:p>
    <w:p w:rsidR="00A33872" w:rsidRPr="00A33872" w:rsidRDefault="00A33872" w:rsidP="00A33872">
      <w:pPr>
        <w:pStyle w:val="ListParagraph"/>
        <w:ind w:left="709"/>
        <w:jc w:val="both"/>
        <w:rPr>
          <w:rFonts w:ascii="Verdana" w:hAnsi="Verdana"/>
          <w:highlight w:val="yellow"/>
          <w:lang w:val="en-US"/>
        </w:rPr>
      </w:pPr>
    </w:p>
    <w:p w:rsidR="00FD27A6" w:rsidRDefault="00FD27A6" w:rsidP="00FF4BCA">
      <w:pPr>
        <w:pStyle w:val="ListParagraph"/>
        <w:numPr>
          <w:ilvl w:val="0"/>
          <w:numId w:val="9"/>
        </w:numPr>
        <w:ind w:left="709" w:hanging="709"/>
        <w:jc w:val="both"/>
        <w:rPr>
          <w:rFonts w:ascii="Verdana" w:hAnsi="Verdana"/>
          <w:lang w:val="en-US"/>
        </w:rPr>
      </w:pPr>
      <w:bookmarkStart w:id="0" w:name="_Ref504028564"/>
      <w:r w:rsidRPr="007853BA">
        <w:rPr>
          <w:rFonts w:ascii="Verdana" w:hAnsi="Verdana"/>
          <w:lang w:val="en-US"/>
        </w:rPr>
        <w:t xml:space="preserve">For the purposes of this </w:t>
      </w:r>
      <w:r w:rsidR="005136FE" w:rsidRPr="007853BA">
        <w:rPr>
          <w:rFonts w:ascii="Verdana" w:hAnsi="Verdana"/>
          <w:lang w:val="en-US"/>
        </w:rPr>
        <w:t>template,</w:t>
      </w:r>
      <w:r>
        <w:rPr>
          <w:rFonts w:ascii="Verdana" w:hAnsi="Verdana"/>
          <w:lang w:val="en-US"/>
        </w:rPr>
        <w:t xml:space="preserve"> </w:t>
      </w:r>
      <w:r w:rsidRPr="007140FC">
        <w:rPr>
          <w:rFonts w:ascii="Verdana" w:hAnsi="Verdana"/>
          <w:lang w:val="en-US"/>
        </w:rPr>
        <w:t xml:space="preserve">“Investments” include </w:t>
      </w:r>
      <w:r w:rsidR="006D0E3D">
        <w:rPr>
          <w:rFonts w:ascii="Verdana" w:hAnsi="Verdana"/>
          <w:lang w:val="en-US"/>
        </w:rPr>
        <w:t xml:space="preserve">the following </w:t>
      </w:r>
      <w:r w:rsidRPr="007140FC">
        <w:rPr>
          <w:rFonts w:ascii="Verdana" w:hAnsi="Verdana"/>
          <w:lang w:val="en-US"/>
        </w:rPr>
        <w:t>items from S.02.01. (Balance-sheet)</w:t>
      </w:r>
      <w:r w:rsidR="006D0E3D">
        <w:rPr>
          <w:rFonts w:ascii="Verdana" w:hAnsi="Verdana"/>
          <w:lang w:val="en-US"/>
        </w:rPr>
        <w:t>:</w:t>
      </w:r>
      <w:r w:rsidRPr="007140FC">
        <w:rPr>
          <w:rFonts w:ascii="Verdana" w:hAnsi="Verdana"/>
          <w:lang w:val="en-US"/>
        </w:rPr>
        <w:t xml:space="preserve"> </w:t>
      </w:r>
      <w:r w:rsidR="00A960F9" w:rsidRPr="007140FC">
        <w:rPr>
          <w:rFonts w:ascii="Verdana" w:hAnsi="Verdana"/>
          <w:lang w:val="en-US"/>
        </w:rPr>
        <w:t xml:space="preserve">R0070 </w:t>
      </w:r>
      <w:r w:rsidR="00A960F9">
        <w:rPr>
          <w:rFonts w:ascii="Verdana" w:hAnsi="Verdana"/>
          <w:lang w:val="en-US"/>
        </w:rPr>
        <w:t>“</w:t>
      </w:r>
      <w:r w:rsidR="00A960F9" w:rsidRPr="00A960F9">
        <w:rPr>
          <w:rFonts w:ascii="Verdana" w:hAnsi="Verdana"/>
          <w:lang w:val="en-US"/>
        </w:rPr>
        <w:t>Investments (other than assets held for index-linked and unit-linked contracts)</w:t>
      </w:r>
      <w:r w:rsidR="00A960F9">
        <w:rPr>
          <w:rFonts w:ascii="Verdana" w:hAnsi="Verdana"/>
          <w:lang w:val="en-US"/>
        </w:rPr>
        <w:t>”</w:t>
      </w:r>
      <w:r w:rsidR="00136788">
        <w:rPr>
          <w:rFonts w:ascii="Verdana" w:hAnsi="Verdana"/>
          <w:lang w:val="en-US"/>
        </w:rPr>
        <w:t>,</w:t>
      </w:r>
      <w:r w:rsidRPr="007140FC">
        <w:rPr>
          <w:rFonts w:ascii="Verdana" w:hAnsi="Verdana"/>
          <w:lang w:val="en-US"/>
        </w:rPr>
        <w:t xml:space="preserve"> </w:t>
      </w:r>
      <w:r w:rsidR="00136788">
        <w:rPr>
          <w:rFonts w:ascii="Verdana" w:hAnsi="Verdana"/>
          <w:lang w:val="en-US"/>
        </w:rPr>
        <w:t>R0220 (“</w:t>
      </w:r>
      <w:r w:rsidR="00136788" w:rsidRPr="005F3B02">
        <w:rPr>
          <w:rFonts w:ascii="Verdana" w:hAnsi="Verdana"/>
          <w:lang w:val="en-US"/>
        </w:rPr>
        <w:t>Assets held for index-linked and unit-linked contracts</w:t>
      </w:r>
      <w:r w:rsidR="00136788">
        <w:rPr>
          <w:rFonts w:ascii="Verdana" w:hAnsi="Verdana"/>
          <w:lang w:val="en-US"/>
        </w:rPr>
        <w:t xml:space="preserve">”), </w:t>
      </w:r>
      <w:r w:rsidRPr="007140FC">
        <w:rPr>
          <w:rFonts w:ascii="Verdana" w:hAnsi="Verdana"/>
          <w:lang w:val="en-US"/>
        </w:rPr>
        <w:t xml:space="preserve"> R0230 (“Loans and mortgages”),</w:t>
      </w:r>
      <w:r w:rsidR="00136788">
        <w:rPr>
          <w:rFonts w:ascii="Verdana" w:hAnsi="Verdana"/>
          <w:lang w:val="en-US"/>
        </w:rPr>
        <w:t xml:space="preserve"> </w:t>
      </w:r>
      <w:r w:rsidRPr="007140FC">
        <w:rPr>
          <w:rFonts w:ascii="Verdana" w:hAnsi="Verdana"/>
          <w:lang w:val="en-US"/>
        </w:rPr>
        <w:t>R0350 (“Deposits to cedants”),</w:t>
      </w:r>
      <w:r w:rsidR="00136788">
        <w:rPr>
          <w:rFonts w:ascii="Verdana" w:hAnsi="Verdana"/>
          <w:lang w:val="en-US"/>
        </w:rPr>
        <w:t xml:space="preserve"> </w:t>
      </w:r>
      <w:r w:rsidRPr="007140FC">
        <w:rPr>
          <w:rFonts w:ascii="Verdana" w:hAnsi="Verdana"/>
          <w:lang w:val="en-US"/>
        </w:rPr>
        <w:t>R0410 (“Cash and cash equivalents”) and R0790 (“Derivatives” in Liabilities).</w:t>
      </w:r>
      <w:bookmarkEnd w:id="0"/>
      <w:r w:rsidRPr="007140FC">
        <w:rPr>
          <w:rFonts w:ascii="Verdana" w:hAnsi="Verdana"/>
          <w:lang w:val="en-US"/>
        </w:rPr>
        <w:t xml:space="preserve"> </w:t>
      </w:r>
      <w:r w:rsidR="006C0410">
        <w:rPr>
          <w:rFonts w:ascii="Verdana" w:hAnsi="Verdana"/>
          <w:lang w:val="en-US"/>
        </w:rPr>
        <w:t xml:space="preserve">Please be aware that own shares are not considered as “Investments” (see </w:t>
      </w:r>
      <w:r w:rsidR="00FF4BCA">
        <w:rPr>
          <w:rFonts w:ascii="Verdana" w:hAnsi="Verdana"/>
          <w:lang w:val="en-US"/>
        </w:rPr>
        <w:t xml:space="preserve">paragraph </w:t>
      </w:r>
      <w:r w:rsidR="006C0410">
        <w:rPr>
          <w:rFonts w:ascii="Verdana" w:hAnsi="Verdana"/>
          <w:lang w:val="en-US"/>
        </w:rPr>
        <w:t>1.19)</w:t>
      </w:r>
      <w:r w:rsidR="003E2030">
        <w:rPr>
          <w:rFonts w:ascii="Verdana" w:hAnsi="Verdana"/>
          <w:lang w:val="en-US"/>
        </w:rPr>
        <w:t>.</w:t>
      </w:r>
    </w:p>
    <w:p w:rsidR="00FD27A6" w:rsidRPr="005A4847" w:rsidRDefault="00FD27A6" w:rsidP="00E2336A">
      <w:pPr>
        <w:pStyle w:val="ListParagraph"/>
        <w:rPr>
          <w:rFonts w:ascii="Verdana" w:hAnsi="Verdana"/>
          <w:lang w:val="en-US"/>
        </w:rPr>
      </w:pPr>
    </w:p>
    <w:p w:rsidR="009062EC" w:rsidRPr="007853BA" w:rsidRDefault="009062EC" w:rsidP="009062EC">
      <w:pPr>
        <w:pStyle w:val="ListParagraph"/>
        <w:numPr>
          <w:ilvl w:val="0"/>
          <w:numId w:val="9"/>
        </w:numPr>
        <w:ind w:left="709" w:hanging="709"/>
        <w:jc w:val="both"/>
        <w:rPr>
          <w:rFonts w:ascii="Verdana" w:hAnsi="Verdana"/>
          <w:lang w:val="en-US"/>
        </w:rPr>
      </w:pPr>
      <w:r w:rsidRPr="007853BA">
        <w:rPr>
          <w:rFonts w:ascii="Verdana" w:hAnsi="Verdana"/>
          <w:lang w:val="en-US"/>
        </w:rPr>
        <w:t xml:space="preserve">This variation of </w:t>
      </w:r>
      <w:r w:rsidR="00A960F9">
        <w:rPr>
          <w:rFonts w:ascii="Verdana" w:hAnsi="Verdana"/>
          <w:lang w:val="en-US"/>
        </w:rPr>
        <w:t>“</w:t>
      </w:r>
      <w:r w:rsidRPr="007853BA">
        <w:rPr>
          <w:rFonts w:ascii="Verdana" w:hAnsi="Verdana"/>
          <w:lang w:val="en-US"/>
        </w:rPr>
        <w:t>Investments</w:t>
      </w:r>
      <w:r w:rsidR="00A960F9">
        <w:rPr>
          <w:rFonts w:ascii="Verdana" w:hAnsi="Verdana"/>
          <w:lang w:val="en-US"/>
        </w:rPr>
        <w:t>”</w:t>
      </w:r>
      <w:r w:rsidRPr="007853BA">
        <w:rPr>
          <w:rFonts w:ascii="Verdana" w:hAnsi="Verdana"/>
          <w:lang w:val="en-US"/>
        </w:rPr>
        <w:t xml:space="preserve"> is not a “pure variation” as it should only capture the variation le</w:t>
      </w:r>
      <w:r w:rsidRPr="2F4470A3">
        <w:rPr>
          <w:rFonts w:ascii="Verdana" w:hAnsi="Verdana"/>
          <w:lang w:val="en-US"/>
        </w:rPr>
        <w:t xml:space="preserve">ading to an </w:t>
      </w:r>
      <w:r w:rsidRPr="007853BA">
        <w:rPr>
          <w:rFonts w:ascii="Verdana" w:hAnsi="Verdana"/>
          <w:lang w:val="en-US"/>
        </w:rPr>
        <w:t xml:space="preserve">impact </w:t>
      </w:r>
      <w:r w:rsidRPr="00AD7EC0">
        <w:rPr>
          <w:rFonts w:ascii="Verdana" w:eastAsia="Verdana" w:hAnsi="Verdana" w:cs="Verdana"/>
          <w:lang w:val="en-US"/>
        </w:rPr>
        <w:t>o</w:t>
      </w:r>
      <w:r w:rsidR="65EACA61" w:rsidRPr="00AD7EC0">
        <w:rPr>
          <w:rFonts w:ascii="Verdana" w:eastAsia="Verdana" w:hAnsi="Verdana" w:cs="Verdana"/>
          <w:lang w:val="en-US"/>
        </w:rPr>
        <w:t>n</w:t>
      </w:r>
      <w:r w:rsidRPr="007853BA">
        <w:rPr>
          <w:rFonts w:ascii="Verdana" w:hAnsi="Verdana"/>
          <w:lang w:val="en-US"/>
        </w:rPr>
        <w:t xml:space="preserve"> the EoAoL</w:t>
      </w:r>
      <w:r w:rsidR="00BD3CEB" w:rsidRPr="007853BA">
        <w:rPr>
          <w:rFonts w:ascii="Verdana" w:hAnsi="Verdana"/>
          <w:lang w:val="en-US"/>
        </w:rPr>
        <w:t>, i.e. should not capture any</w:t>
      </w:r>
      <w:r w:rsidR="00FF4BCA">
        <w:rPr>
          <w:rFonts w:ascii="Verdana" w:hAnsi="Verdana"/>
          <w:lang w:val="en-US"/>
        </w:rPr>
        <w:t xml:space="preserve"> </w:t>
      </w:r>
      <w:r w:rsidR="002F0628">
        <w:rPr>
          <w:rFonts w:ascii="Verdana" w:hAnsi="Verdana"/>
          <w:lang w:val="en-US"/>
        </w:rPr>
        <w:t>acquisitions</w:t>
      </w:r>
      <w:r w:rsidR="00A86E0D">
        <w:rPr>
          <w:rFonts w:ascii="Verdana" w:hAnsi="Verdana"/>
          <w:lang w:val="en-US"/>
        </w:rPr>
        <w:t xml:space="preserve"> (for example performed following premiums </w:t>
      </w:r>
      <w:r w:rsidR="006D0E3D">
        <w:rPr>
          <w:rFonts w:ascii="Verdana" w:hAnsi="Verdana"/>
          <w:lang w:val="en-US"/>
        </w:rPr>
        <w:t>received</w:t>
      </w:r>
      <w:r w:rsidR="00A86E0D">
        <w:rPr>
          <w:rFonts w:ascii="Verdana" w:hAnsi="Verdana"/>
          <w:lang w:val="en-US"/>
        </w:rPr>
        <w:t xml:space="preserve">) </w:t>
      </w:r>
      <w:r w:rsidR="00BD3CEB" w:rsidRPr="2F4470A3">
        <w:rPr>
          <w:rFonts w:ascii="Verdana" w:hAnsi="Verdana"/>
          <w:lang w:val="en-US"/>
        </w:rPr>
        <w:t xml:space="preserve">or selling </w:t>
      </w:r>
      <w:r w:rsidR="00A86E0D">
        <w:rPr>
          <w:rFonts w:ascii="Verdana" w:hAnsi="Verdana"/>
          <w:lang w:val="en-US"/>
        </w:rPr>
        <w:t xml:space="preserve">(for example to pay claims or to re-invest) </w:t>
      </w:r>
      <w:r w:rsidR="00BD3CEB" w:rsidRPr="2F4470A3">
        <w:rPr>
          <w:rFonts w:ascii="Verdana" w:hAnsi="Verdana"/>
          <w:lang w:val="en-US"/>
        </w:rPr>
        <w:t>but simply</w:t>
      </w:r>
      <w:r w:rsidR="00BD3CEB" w:rsidRPr="007140FC">
        <w:rPr>
          <w:rFonts w:ascii="Verdana" w:hAnsi="Verdana"/>
          <w:lang w:val="en-US"/>
        </w:rPr>
        <w:t xml:space="preserve"> the variation </w:t>
      </w:r>
      <w:r w:rsidR="001F3AFD">
        <w:rPr>
          <w:rFonts w:ascii="Verdana" w:hAnsi="Verdana"/>
          <w:lang w:val="en-US"/>
        </w:rPr>
        <w:t>due to</w:t>
      </w:r>
      <w:r w:rsidR="00BD3CEB" w:rsidRPr="007140FC">
        <w:rPr>
          <w:rFonts w:ascii="Verdana" w:hAnsi="Verdana"/>
          <w:lang w:val="en-US"/>
        </w:rPr>
        <w:t xml:space="preserve"> valuation, including expenses/revenues (as said </w:t>
      </w:r>
      <w:r w:rsidR="00A86E0D">
        <w:rPr>
          <w:rFonts w:ascii="Verdana" w:hAnsi="Verdana"/>
          <w:lang w:val="en-US"/>
        </w:rPr>
        <w:t>S.29.01.</w:t>
      </w:r>
      <w:r w:rsidR="00BD3CEB" w:rsidRPr="007140FC">
        <w:rPr>
          <w:rFonts w:ascii="Verdana" w:hAnsi="Verdana"/>
          <w:lang w:val="en-US"/>
        </w:rPr>
        <w:t>R0190 needs to capture all amounts reported in S.29.02)</w:t>
      </w:r>
      <w:r w:rsidRPr="007853BA">
        <w:rPr>
          <w:rFonts w:ascii="Verdana" w:hAnsi="Verdana"/>
          <w:lang w:val="en-US"/>
        </w:rPr>
        <w:t xml:space="preserve">. For example, when </w:t>
      </w:r>
      <w:r w:rsidR="005E1BD9" w:rsidRPr="007853BA">
        <w:rPr>
          <w:rFonts w:ascii="Verdana" w:hAnsi="Verdana"/>
          <w:lang w:val="en-US"/>
        </w:rPr>
        <w:t>bonds</w:t>
      </w:r>
      <w:r w:rsidRPr="007853BA">
        <w:rPr>
          <w:rFonts w:ascii="Verdana" w:hAnsi="Verdana"/>
          <w:lang w:val="en-US"/>
        </w:rPr>
        <w:t xml:space="preserve"> are </w:t>
      </w:r>
      <w:r w:rsidR="00F05818">
        <w:rPr>
          <w:rFonts w:ascii="Verdana" w:hAnsi="Verdana"/>
          <w:lang w:val="en-US"/>
        </w:rPr>
        <w:t>re</w:t>
      </w:r>
      <w:r w:rsidRPr="007853BA">
        <w:rPr>
          <w:rFonts w:ascii="Verdana" w:hAnsi="Verdana"/>
          <w:lang w:val="en-US"/>
        </w:rPr>
        <w:t xml:space="preserve">paid this might affect “Cash and cash equivalents” but </w:t>
      </w:r>
      <w:r w:rsidR="001F3AFD">
        <w:rPr>
          <w:rFonts w:ascii="Verdana" w:hAnsi="Verdana"/>
          <w:lang w:val="en-US"/>
        </w:rPr>
        <w:t>does</w:t>
      </w:r>
      <w:r w:rsidR="001F3AFD" w:rsidRPr="007853BA">
        <w:rPr>
          <w:rFonts w:ascii="Verdana" w:hAnsi="Verdana"/>
          <w:lang w:val="en-US"/>
        </w:rPr>
        <w:t xml:space="preserve"> </w:t>
      </w:r>
      <w:r w:rsidRPr="007853BA">
        <w:rPr>
          <w:rFonts w:ascii="Verdana" w:hAnsi="Verdana"/>
          <w:lang w:val="en-US"/>
        </w:rPr>
        <w:t xml:space="preserve">not affect the EoAoL. </w:t>
      </w:r>
    </w:p>
    <w:p w:rsidR="009062EC" w:rsidRPr="00132907" w:rsidRDefault="009062EC" w:rsidP="00132907">
      <w:pPr>
        <w:pStyle w:val="ListParagraph"/>
        <w:rPr>
          <w:rFonts w:ascii="Verdana" w:hAnsi="Verdana"/>
          <w:lang w:val="en-US"/>
        </w:rPr>
      </w:pPr>
    </w:p>
    <w:p w:rsidR="000914FC" w:rsidRDefault="000914FC">
      <w:pPr>
        <w:pStyle w:val="ListParagraph"/>
        <w:numPr>
          <w:ilvl w:val="0"/>
          <w:numId w:val="9"/>
        </w:numPr>
        <w:ind w:left="709" w:hanging="709"/>
        <w:jc w:val="both"/>
        <w:rPr>
          <w:rFonts w:ascii="Verdana" w:hAnsi="Verdana"/>
          <w:lang w:val="en-US"/>
        </w:rPr>
      </w:pPr>
      <w:bookmarkStart w:id="1" w:name="_Ref504028668"/>
      <w:r w:rsidRPr="000914FC">
        <w:rPr>
          <w:rFonts w:ascii="Verdana" w:hAnsi="Verdana"/>
          <w:lang w:val="en-US"/>
        </w:rPr>
        <w:t xml:space="preserve">For the purposes of this </w:t>
      </w:r>
      <w:r w:rsidR="006D0E3D" w:rsidRPr="000914FC">
        <w:rPr>
          <w:rFonts w:ascii="Verdana" w:hAnsi="Verdana"/>
          <w:lang w:val="en-US"/>
        </w:rPr>
        <w:t>template,</w:t>
      </w:r>
      <w:r w:rsidRPr="000914FC">
        <w:rPr>
          <w:rFonts w:ascii="Verdana" w:hAnsi="Verdana"/>
          <w:lang w:val="en-US"/>
        </w:rPr>
        <w:t xml:space="preserve"> “Financial liabilities” includes </w:t>
      </w:r>
      <w:r w:rsidR="00A960F9">
        <w:rPr>
          <w:rFonts w:ascii="Verdana" w:hAnsi="Verdana"/>
          <w:lang w:val="en-US"/>
        </w:rPr>
        <w:t xml:space="preserve">the following </w:t>
      </w:r>
      <w:r w:rsidRPr="000914FC">
        <w:rPr>
          <w:rFonts w:ascii="Verdana" w:hAnsi="Verdana"/>
          <w:lang w:val="en-US"/>
        </w:rPr>
        <w:t>items from S.02.01. (Balance-sheet)</w:t>
      </w:r>
      <w:r w:rsidR="001F3AFD">
        <w:rPr>
          <w:rFonts w:ascii="Verdana" w:hAnsi="Verdana"/>
          <w:lang w:val="en-US"/>
        </w:rPr>
        <w:t>:</w:t>
      </w:r>
      <w:r w:rsidRPr="000914FC">
        <w:rPr>
          <w:rFonts w:ascii="Verdana" w:hAnsi="Verdana"/>
          <w:lang w:val="en-US"/>
        </w:rPr>
        <w:t xml:space="preserve"> </w:t>
      </w:r>
      <w:r w:rsidR="001F3AFD" w:rsidRPr="000914FC">
        <w:rPr>
          <w:rFonts w:ascii="Verdana,Times New Roman" w:eastAsia="Verdana,Times New Roman" w:hAnsi="Verdana,Times New Roman" w:cs="Verdana,Times New Roman"/>
          <w:lang w:val="en-GB"/>
        </w:rPr>
        <w:t>R0800</w:t>
      </w:r>
      <w:r w:rsidR="00FF4BCA">
        <w:rPr>
          <w:rFonts w:ascii="Verdana,Times New Roman" w:eastAsia="Verdana,Times New Roman" w:hAnsi="Verdana,Times New Roman" w:cs="Verdana,Times New Roman"/>
          <w:lang w:val="en-GB"/>
        </w:rPr>
        <w:t xml:space="preserve"> </w:t>
      </w:r>
      <w:r w:rsidR="001F3AFD">
        <w:rPr>
          <w:rFonts w:ascii="Verdana" w:hAnsi="Verdana"/>
          <w:lang w:val="en-US"/>
        </w:rPr>
        <w:t>(“</w:t>
      </w:r>
      <w:r w:rsidR="001F3AFD">
        <w:rPr>
          <w:rFonts w:ascii="Verdana,Times New Roman" w:eastAsia="Verdana,Times New Roman" w:hAnsi="Verdana,Times New Roman" w:cs="Verdana,Times New Roman"/>
          <w:lang w:val="en-GB"/>
        </w:rPr>
        <w:t>D</w:t>
      </w:r>
      <w:r w:rsidRPr="000914FC">
        <w:rPr>
          <w:rFonts w:ascii="Verdana,Times New Roman" w:eastAsia="Verdana,Times New Roman" w:hAnsi="Verdana,Times New Roman" w:cs="Verdana,Times New Roman"/>
          <w:lang w:val="en-GB"/>
        </w:rPr>
        <w:t>ebts owed to credit institutions</w:t>
      </w:r>
      <w:r w:rsidR="001F3AFD">
        <w:rPr>
          <w:rFonts w:ascii="Verdana,Times New Roman" w:eastAsia="Verdana,Times New Roman" w:hAnsi="Verdana,Times New Roman" w:cs="Verdana,Times New Roman"/>
          <w:lang w:val="en-GB"/>
        </w:rPr>
        <w:t>”)</w:t>
      </w:r>
      <w:r w:rsidRPr="000914FC">
        <w:rPr>
          <w:rFonts w:ascii="Verdana,Times New Roman" w:eastAsia="Verdana,Times New Roman" w:hAnsi="Verdana,Times New Roman" w:cs="Verdana,Times New Roman"/>
          <w:lang w:val="en-GB"/>
        </w:rPr>
        <w:t xml:space="preserve">, </w:t>
      </w:r>
      <w:r w:rsidR="001F3AFD" w:rsidRPr="000914FC">
        <w:rPr>
          <w:rFonts w:ascii="Verdana,Times New Roman" w:eastAsia="Verdana,Times New Roman" w:hAnsi="Verdana,Times New Roman" w:cs="Verdana,Times New Roman"/>
          <w:lang w:val="en-GB"/>
        </w:rPr>
        <w:t>R0810</w:t>
      </w:r>
      <w:r w:rsidR="001F3AFD">
        <w:rPr>
          <w:rFonts w:ascii="Verdana,Times New Roman" w:eastAsia="Verdana,Times New Roman" w:hAnsi="Verdana,Times New Roman" w:cs="Verdana,Times New Roman"/>
          <w:lang w:val="en-GB"/>
        </w:rPr>
        <w:t xml:space="preserve"> (“F</w:t>
      </w:r>
      <w:r w:rsidRPr="000914FC">
        <w:rPr>
          <w:rFonts w:ascii="Verdana,Times New Roman" w:eastAsia="Verdana,Times New Roman" w:hAnsi="Verdana,Times New Roman" w:cs="Verdana,Times New Roman"/>
          <w:lang w:val="en-GB"/>
        </w:rPr>
        <w:t>inancial liabilities other than debts owed to credit institutions</w:t>
      </w:r>
      <w:r w:rsidR="001F3AFD">
        <w:rPr>
          <w:rFonts w:ascii="Verdana,Times New Roman" w:eastAsia="Verdana,Times New Roman" w:hAnsi="Verdana,Times New Roman" w:cs="Verdana,Times New Roman"/>
          <w:lang w:val="en-GB"/>
        </w:rPr>
        <w:t>”)</w:t>
      </w:r>
      <w:r w:rsidRPr="000914FC">
        <w:rPr>
          <w:rFonts w:ascii="Verdana,Times New Roman" w:eastAsia="Verdana,Times New Roman" w:hAnsi="Verdana,Times New Roman" w:cs="Verdana,Times New Roman"/>
          <w:lang w:val="en-GB"/>
        </w:rPr>
        <w:t xml:space="preserve"> and </w:t>
      </w:r>
      <w:r w:rsidR="001F3AFD" w:rsidRPr="000914FC">
        <w:rPr>
          <w:rFonts w:ascii="Verdana,Times New Roman" w:eastAsia="Verdana,Times New Roman" w:hAnsi="Verdana,Times New Roman" w:cs="Verdana,Times New Roman"/>
          <w:lang w:val="en-GB"/>
        </w:rPr>
        <w:t>R0850</w:t>
      </w:r>
      <w:r w:rsidR="001F3AFD">
        <w:rPr>
          <w:rFonts w:ascii="Verdana,Times New Roman" w:eastAsia="Verdana,Times New Roman" w:hAnsi="Verdana,Times New Roman" w:cs="Verdana,Times New Roman"/>
          <w:lang w:val="en-GB"/>
        </w:rPr>
        <w:t xml:space="preserve"> (“</w:t>
      </w:r>
      <w:r w:rsidR="001F3AFD">
        <w:rPr>
          <w:rFonts w:ascii="Verdana" w:hAnsi="Verdana"/>
          <w:lang w:val="en-US"/>
        </w:rPr>
        <w:t>S</w:t>
      </w:r>
      <w:r w:rsidRPr="000914FC">
        <w:rPr>
          <w:rFonts w:ascii="Verdana" w:hAnsi="Verdana"/>
          <w:lang w:val="en-US"/>
        </w:rPr>
        <w:t>ubordinated liabilities</w:t>
      </w:r>
      <w:r w:rsidR="001F3AFD">
        <w:rPr>
          <w:rFonts w:ascii="Verdana" w:hAnsi="Verdana"/>
          <w:lang w:val="en-US"/>
        </w:rPr>
        <w:t>”).</w:t>
      </w:r>
      <w:bookmarkEnd w:id="1"/>
    </w:p>
    <w:p w:rsidR="000914FC" w:rsidRPr="00E2336A" w:rsidRDefault="000914FC" w:rsidP="00E2336A">
      <w:pPr>
        <w:pStyle w:val="ListParagraph"/>
        <w:rPr>
          <w:rFonts w:ascii="Verdana" w:hAnsi="Verdana"/>
          <w:lang w:val="en-US"/>
        </w:rPr>
      </w:pPr>
    </w:p>
    <w:p w:rsidR="005F3B02" w:rsidRDefault="005F3B02" w:rsidP="00FF4BCA">
      <w:pPr>
        <w:pStyle w:val="ListParagraph"/>
        <w:numPr>
          <w:ilvl w:val="0"/>
          <w:numId w:val="9"/>
        </w:numPr>
        <w:ind w:left="709" w:hanging="709"/>
        <w:jc w:val="both"/>
        <w:rPr>
          <w:rFonts w:ascii="Verdana" w:hAnsi="Verdana"/>
          <w:lang w:val="en-US"/>
        </w:rPr>
      </w:pPr>
      <w:r w:rsidRPr="00421A24">
        <w:rPr>
          <w:rFonts w:ascii="Verdana" w:hAnsi="Verdana"/>
          <w:lang w:val="en-US"/>
        </w:rPr>
        <w:t xml:space="preserve">In S.29.01.R0200 the amount of </w:t>
      </w:r>
      <w:r w:rsidR="00DD0127">
        <w:rPr>
          <w:rFonts w:ascii="Verdana" w:hAnsi="Verdana"/>
          <w:lang w:val="en-US"/>
        </w:rPr>
        <w:t>t</w:t>
      </w:r>
      <w:r w:rsidRPr="00421A24">
        <w:rPr>
          <w:rFonts w:ascii="Verdana" w:hAnsi="Verdana"/>
          <w:lang w:val="en-US"/>
        </w:rPr>
        <w:t xml:space="preserve">echnical provisions – index-linked and unit-linked should </w:t>
      </w:r>
      <w:r w:rsidR="00A86E0D" w:rsidRPr="00421A24">
        <w:rPr>
          <w:rFonts w:ascii="Verdana" w:hAnsi="Verdana"/>
          <w:lang w:val="en-US"/>
        </w:rPr>
        <w:t>also</w:t>
      </w:r>
      <w:r w:rsidRPr="00421A24">
        <w:rPr>
          <w:rFonts w:ascii="Verdana" w:hAnsi="Verdana"/>
          <w:lang w:val="en-US"/>
        </w:rPr>
        <w:t xml:space="preserve"> be considered. Th</w:t>
      </w:r>
      <w:r w:rsidR="005E3555">
        <w:rPr>
          <w:rFonts w:ascii="Verdana" w:hAnsi="Verdana"/>
          <w:lang w:val="en-US"/>
        </w:rPr>
        <w:t>e</w:t>
      </w:r>
      <w:r w:rsidRPr="00421A24">
        <w:rPr>
          <w:rFonts w:ascii="Verdana" w:hAnsi="Verdana"/>
          <w:lang w:val="en-US"/>
        </w:rPr>
        <w:t>s</w:t>
      </w:r>
      <w:r w:rsidR="005E3555">
        <w:rPr>
          <w:rFonts w:ascii="Verdana" w:hAnsi="Verdana"/>
          <w:lang w:val="en-US"/>
        </w:rPr>
        <w:t>e</w:t>
      </w:r>
      <w:r w:rsidRPr="00421A24">
        <w:rPr>
          <w:rFonts w:ascii="Verdana" w:hAnsi="Verdana"/>
          <w:lang w:val="en-US"/>
        </w:rPr>
        <w:t xml:space="preserve"> templates do not assume a perfect</w:t>
      </w:r>
      <w:r>
        <w:rPr>
          <w:rFonts w:ascii="Verdana" w:hAnsi="Verdana"/>
          <w:lang w:val="en-US"/>
        </w:rPr>
        <w:t xml:space="preserve"> neutralisation of assets and liabilities related to </w:t>
      </w:r>
      <w:r w:rsidR="00DD0127">
        <w:rPr>
          <w:rFonts w:ascii="Verdana" w:hAnsi="Verdana"/>
          <w:lang w:val="en-US"/>
        </w:rPr>
        <w:t xml:space="preserve">index-linked and </w:t>
      </w:r>
      <w:r>
        <w:rPr>
          <w:rFonts w:ascii="Verdana" w:hAnsi="Verdana"/>
          <w:lang w:val="en-US"/>
        </w:rPr>
        <w:t>unit</w:t>
      </w:r>
      <w:r w:rsidR="001F3AFD">
        <w:rPr>
          <w:rFonts w:ascii="Verdana" w:hAnsi="Verdana"/>
          <w:lang w:val="en-US"/>
        </w:rPr>
        <w:noBreakHyphen/>
      </w:r>
      <w:r>
        <w:rPr>
          <w:rFonts w:ascii="Verdana" w:hAnsi="Verdana"/>
          <w:lang w:val="en-US"/>
        </w:rPr>
        <w:t xml:space="preserve">linked business. See also comments </w:t>
      </w:r>
      <w:r w:rsidR="001F3AFD">
        <w:rPr>
          <w:rFonts w:ascii="Verdana" w:hAnsi="Verdana"/>
          <w:lang w:val="en-US"/>
        </w:rPr>
        <w:t>on</w:t>
      </w:r>
      <w:r>
        <w:rPr>
          <w:rFonts w:ascii="Verdana" w:hAnsi="Verdana"/>
          <w:lang w:val="en-US"/>
        </w:rPr>
        <w:t xml:space="preserve"> S.29.0</w:t>
      </w:r>
      <w:r w:rsidR="00A86E0D">
        <w:rPr>
          <w:rFonts w:ascii="Verdana" w:hAnsi="Verdana"/>
          <w:lang w:val="en-US"/>
        </w:rPr>
        <w:t>3</w:t>
      </w:r>
      <w:r>
        <w:rPr>
          <w:rFonts w:ascii="Verdana" w:hAnsi="Verdana"/>
          <w:lang w:val="en-US"/>
        </w:rPr>
        <w:t>.R0</w:t>
      </w:r>
      <w:r w:rsidR="00A86E0D">
        <w:rPr>
          <w:rFonts w:ascii="Verdana" w:hAnsi="Verdana"/>
          <w:lang w:val="en-US"/>
        </w:rPr>
        <w:t>30</w:t>
      </w:r>
      <w:r>
        <w:rPr>
          <w:rFonts w:ascii="Verdana" w:hAnsi="Verdana"/>
          <w:lang w:val="en-US"/>
        </w:rPr>
        <w:t>0.</w:t>
      </w:r>
    </w:p>
    <w:p w:rsidR="00CE3D3E" w:rsidRPr="005A4847" w:rsidRDefault="00CE3D3E" w:rsidP="00E2336A">
      <w:pPr>
        <w:pStyle w:val="ListParagraph"/>
        <w:rPr>
          <w:rFonts w:ascii="Verdana" w:hAnsi="Verdana"/>
          <w:lang w:val="en-US"/>
        </w:rPr>
      </w:pPr>
    </w:p>
    <w:p w:rsidR="00CE3D3E" w:rsidRDefault="00CE3D3E" w:rsidP="00E2336A">
      <w:pPr>
        <w:pStyle w:val="ListParagraph"/>
        <w:numPr>
          <w:ilvl w:val="0"/>
          <w:numId w:val="9"/>
        </w:numPr>
        <w:ind w:left="709" w:hanging="709"/>
        <w:jc w:val="both"/>
        <w:rPr>
          <w:rFonts w:ascii="Verdana" w:hAnsi="Verdana"/>
          <w:lang w:val="en-US"/>
        </w:rPr>
      </w:pPr>
      <w:r>
        <w:rPr>
          <w:rFonts w:ascii="Verdana" w:hAnsi="Verdana"/>
          <w:lang w:val="en-US"/>
        </w:rPr>
        <w:t>The amount reported in S.29.01.R0200 is net of reinsurance (</w:t>
      </w:r>
      <w:r w:rsidR="001F3AFD">
        <w:rPr>
          <w:rFonts w:ascii="Verdana" w:hAnsi="Verdana"/>
          <w:lang w:val="en-US"/>
        </w:rPr>
        <w:t xml:space="preserve">please </w:t>
      </w:r>
      <w:r>
        <w:rPr>
          <w:rFonts w:ascii="Verdana" w:hAnsi="Verdana"/>
          <w:lang w:val="en-US"/>
        </w:rPr>
        <w:t>see BV508</w:t>
      </w:r>
      <w:r w:rsidR="001F3AFD">
        <w:rPr>
          <w:rFonts w:ascii="Verdana" w:hAnsi="Verdana"/>
          <w:lang w:val="en-US"/>
        </w:rPr>
        <w:t xml:space="preserve"> </w:t>
      </w:r>
      <w:r w:rsidR="00DD0127">
        <w:rPr>
          <w:rFonts w:ascii="Verdana" w:hAnsi="Verdana"/>
          <w:lang w:val="en-US"/>
        </w:rPr>
        <w:t>of</w:t>
      </w:r>
      <w:r w:rsidR="001F3AFD">
        <w:rPr>
          <w:rFonts w:ascii="Verdana" w:hAnsi="Verdana"/>
          <w:lang w:val="en-US"/>
        </w:rPr>
        <w:t xml:space="preserve"> the list of validations</w:t>
      </w:r>
      <w:r>
        <w:rPr>
          <w:rFonts w:ascii="Verdana" w:hAnsi="Verdana"/>
          <w:lang w:val="en-US"/>
        </w:rPr>
        <w:t xml:space="preserve">). </w:t>
      </w:r>
    </w:p>
    <w:p w:rsidR="005F3B02" w:rsidRPr="005A4847" w:rsidRDefault="005F3B02" w:rsidP="00E2336A">
      <w:pPr>
        <w:pStyle w:val="ListParagraph"/>
        <w:rPr>
          <w:rFonts w:ascii="Verdana" w:hAnsi="Verdana"/>
          <w:lang w:val="en-US"/>
        </w:rPr>
      </w:pPr>
    </w:p>
    <w:p w:rsidR="00421A24" w:rsidRDefault="009C40D1" w:rsidP="00FF4BCA">
      <w:pPr>
        <w:pStyle w:val="ListParagraph"/>
        <w:numPr>
          <w:ilvl w:val="0"/>
          <w:numId w:val="9"/>
        </w:numPr>
        <w:ind w:left="709" w:hanging="709"/>
        <w:jc w:val="both"/>
        <w:rPr>
          <w:rFonts w:ascii="Verdana" w:hAnsi="Verdana"/>
          <w:lang w:val="en-US"/>
        </w:rPr>
      </w:pPr>
      <w:r w:rsidRPr="007853BA">
        <w:rPr>
          <w:rFonts w:ascii="Verdana" w:hAnsi="Verdana"/>
          <w:lang w:val="en-US"/>
        </w:rPr>
        <w:t xml:space="preserve">The amount reported in </w:t>
      </w:r>
      <w:r w:rsidR="00421A24">
        <w:rPr>
          <w:rFonts w:ascii="Verdana" w:hAnsi="Verdana"/>
          <w:lang w:val="en-US"/>
        </w:rPr>
        <w:t>S.29.01.</w:t>
      </w:r>
      <w:r w:rsidR="006B2756" w:rsidRPr="007140FC">
        <w:rPr>
          <w:rFonts w:ascii="Verdana" w:hAnsi="Verdana"/>
          <w:lang w:val="en-US"/>
        </w:rPr>
        <w:t xml:space="preserve">R0210 </w:t>
      </w:r>
      <w:r w:rsidR="00DD0127">
        <w:rPr>
          <w:rFonts w:ascii="Verdana" w:hAnsi="Verdana"/>
          <w:lang w:val="en-US"/>
        </w:rPr>
        <w:t xml:space="preserve">- </w:t>
      </w:r>
      <w:r w:rsidR="00DD0127" w:rsidRPr="00DD0127">
        <w:rPr>
          <w:rFonts w:ascii="Verdana" w:hAnsi="Verdana"/>
          <w:lang w:val="en-US"/>
        </w:rPr>
        <w:t>Variations in capital basic own fund items and other items approved</w:t>
      </w:r>
      <w:r w:rsidR="00DD0127">
        <w:rPr>
          <w:rFonts w:ascii="Verdana" w:hAnsi="Verdana"/>
          <w:lang w:val="en-US"/>
        </w:rPr>
        <w:t xml:space="preserve"> -</w:t>
      </w:r>
      <w:r w:rsidR="006B2756" w:rsidRPr="007140FC">
        <w:rPr>
          <w:rFonts w:ascii="Verdana" w:hAnsi="Verdana"/>
          <w:lang w:val="en-US"/>
        </w:rPr>
        <w:t xml:space="preserve"> </w:t>
      </w:r>
      <w:r w:rsidR="006B2756" w:rsidRPr="00D56959">
        <w:rPr>
          <w:rFonts w:ascii="Verdana" w:hAnsi="Verdana"/>
          <w:lang w:val="en-US"/>
        </w:rPr>
        <w:t xml:space="preserve">includes only </w:t>
      </w:r>
      <w:r w:rsidRPr="005D495C">
        <w:rPr>
          <w:rFonts w:ascii="Verdana" w:hAnsi="Verdana"/>
          <w:lang w:val="en-US"/>
        </w:rPr>
        <w:t>“</w:t>
      </w:r>
      <w:r w:rsidR="00A20563" w:rsidRPr="005D495C">
        <w:rPr>
          <w:rFonts w:ascii="Verdana" w:hAnsi="Verdana"/>
          <w:lang w:val="en-US"/>
        </w:rPr>
        <w:t>pure capital</w:t>
      </w:r>
      <w:r w:rsidRPr="005D495C">
        <w:rPr>
          <w:rFonts w:ascii="Verdana" w:hAnsi="Verdana"/>
          <w:lang w:val="en-US"/>
        </w:rPr>
        <w:t>” items</w:t>
      </w:r>
      <w:r w:rsidR="00A20563" w:rsidRPr="005D495C">
        <w:rPr>
          <w:rFonts w:ascii="Verdana" w:hAnsi="Verdana"/>
          <w:lang w:val="en-US"/>
        </w:rPr>
        <w:t xml:space="preserve">, meaning </w:t>
      </w:r>
      <w:r w:rsidRPr="005D495C">
        <w:rPr>
          <w:rFonts w:ascii="Verdana" w:hAnsi="Verdana"/>
          <w:lang w:val="en-US"/>
        </w:rPr>
        <w:t xml:space="preserve">it </w:t>
      </w:r>
      <w:r w:rsidR="00A20563" w:rsidRPr="005D495C">
        <w:rPr>
          <w:rFonts w:ascii="Verdana" w:eastAsia="Verdana" w:hAnsi="Verdana" w:cs="Verdana"/>
          <w:lang w:val="en-US"/>
        </w:rPr>
        <w:t>exclud</w:t>
      </w:r>
      <w:r w:rsidRPr="005D495C">
        <w:rPr>
          <w:rFonts w:ascii="Verdana" w:eastAsia="Verdana" w:hAnsi="Verdana" w:cs="Verdana"/>
          <w:lang w:val="en-US"/>
        </w:rPr>
        <w:t>es</w:t>
      </w:r>
      <w:r w:rsidR="00A20563" w:rsidRPr="005D495C">
        <w:rPr>
          <w:rFonts w:ascii="Verdana" w:hAnsi="Verdana"/>
          <w:lang w:val="en-US"/>
        </w:rPr>
        <w:t xml:space="preserve"> </w:t>
      </w:r>
      <w:r w:rsidR="00DD0127">
        <w:rPr>
          <w:rFonts w:ascii="Verdana" w:hAnsi="Verdana"/>
          <w:lang w:val="en-US"/>
        </w:rPr>
        <w:t>r</w:t>
      </w:r>
      <w:r w:rsidR="00A20563" w:rsidRPr="005D495C">
        <w:rPr>
          <w:rFonts w:ascii="Verdana" w:hAnsi="Verdana"/>
          <w:lang w:val="en-US"/>
        </w:rPr>
        <w:t>econciliation reserve</w:t>
      </w:r>
      <w:r w:rsidRPr="005D495C">
        <w:rPr>
          <w:rFonts w:ascii="Verdana" w:hAnsi="Verdana"/>
          <w:lang w:val="en-US"/>
        </w:rPr>
        <w:t>,</w:t>
      </w:r>
      <w:r w:rsidR="00A20563" w:rsidRPr="005D495C">
        <w:rPr>
          <w:rFonts w:ascii="Verdana" w:hAnsi="Verdana"/>
          <w:lang w:val="en-US"/>
        </w:rPr>
        <w:t xml:space="preserve"> </w:t>
      </w:r>
      <w:r w:rsidR="00DD0127">
        <w:rPr>
          <w:rFonts w:ascii="Verdana" w:hAnsi="Verdana"/>
          <w:lang w:val="en-US"/>
        </w:rPr>
        <w:t>s</w:t>
      </w:r>
      <w:r w:rsidR="00A20563" w:rsidRPr="005D495C">
        <w:rPr>
          <w:rFonts w:ascii="Verdana" w:hAnsi="Verdana"/>
          <w:lang w:val="en-US"/>
        </w:rPr>
        <w:t xml:space="preserve">ubordinated liabilities and </w:t>
      </w:r>
      <w:r w:rsidR="00DD0127">
        <w:rPr>
          <w:rFonts w:ascii="Verdana" w:hAnsi="Verdana"/>
          <w:lang w:val="en-US"/>
        </w:rPr>
        <w:t>n</w:t>
      </w:r>
      <w:r w:rsidRPr="005D495C">
        <w:rPr>
          <w:rFonts w:ascii="Verdana" w:hAnsi="Verdana"/>
          <w:lang w:val="en-US"/>
        </w:rPr>
        <w:t xml:space="preserve">et </w:t>
      </w:r>
      <w:r w:rsidR="00DD0127">
        <w:rPr>
          <w:rFonts w:ascii="Verdana" w:hAnsi="Verdana"/>
          <w:lang w:val="en-US"/>
        </w:rPr>
        <w:t>d</w:t>
      </w:r>
      <w:r w:rsidRPr="005D495C">
        <w:rPr>
          <w:rFonts w:ascii="Verdana" w:hAnsi="Verdana"/>
          <w:lang w:val="en-US"/>
        </w:rPr>
        <w:t xml:space="preserve">eferred </w:t>
      </w:r>
      <w:r w:rsidR="00DD0127">
        <w:rPr>
          <w:rFonts w:ascii="Verdana" w:hAnsi="Verdana"/>
          <w:lang w:val="en-US"/>
        </w:rPr>
        <w:t>t</w:t>
      </w:r>
      <w:r w:rsidRPr="005D495C">
        <w:rPr>
          <w:rFonts w:ascii="Verdana" w:hAnsi="Verdana"/>
          <w:lang w:val="en-US"/>
        </w:rPr>
        <w:t xml:space="preserve">ax </w:t>
      </w:r>
      <w:r w:rsidR="00DD0127">
        <w:rPr>
          <w:rFonts w:ascii="Verdana" w:hAnsi="Verdana"/>
          <w:lang w:val="en-US"/>
        </w:rPr>
        <w:t>a</w:t>
      </w:r>
      <w:r w:rsidRPr="005D495C">
        <w:rPr>
          <w:rFonts w:ascii="Verdana" w:hAnsi="Verdana"/>
          <w:lang w:val="en-US"/>
        </w:rPr>
        <w:t>ssets</w:t>
      </w:r>
      <w:r w:rsidR="001A690B" w:rsidRPr="005D495C">
        <w:rPr>
          <w:rFonts w:ascii="Verdana" w:hAnsi="Verdana"/>
          <w:lang w:val="en-US"/>
        </w:rPr>
        <w:t xml:space="preserve"> but includes own shares</w:t>
      </w:r>
      <w:r w:rsidR="00737DE7">
        <w:rPr>
          <w:rFonts w:ascii="Verdana" w:hAnsi="Verdana"/>
          <w:lang w:val="en-US"/>
        </w:rPr>
        <w:t xml:space="preserve"> and </w:t>
      </w:r>
      <w:r w:rsidR="00DD0127">
        <w:rPr>
          <w:rFonts w:ascii="Verdana" w:hAnsi="Verdana"/>
          <w:lang w:val="en-US"/>
        </w:rPr>
        <w:t>s</w:t>
      </w:r>
      <w:r w:rsidR="00737DE7">
        <w:rPr>
          <w:rFonts w:ascii="Verdana" w:hAnsi="Verdana"/>
          <w:lang w:val="en-US"/>
        </w:rPr>
        <w:t xml:space="preserve">urplus </w:t>
      </w:r>
      <w:r w:rsidR="00DD0127">
        <w:rPr>
          <w:rFonts w:ascii="Verdana" w:hAnsi="Verdana"/>
          <w:lang w:val="en-US"/>
        </w:rPr>
        <w:t>f</w:t>
      </w:r>
      <w:r w:rsidR="00737DE7">
        <w:rPr>
          <w:rFonts w:ascii="Verdana" w:hAnsi="Verdana"/>
          <w:lang w:val="en-US"/>
        </w:rPr>
        <w:t>unds</w:t>
      </w:r>
      <w:r w:rsidR="00421A24">
        <w:rPr>
          <w:rFonts w:ascii="Verdana" w:hAnsi="Verdana"/>
          <w:lang w:val="en-US"/>
        </w:rPr>
        <w:t>:</w:t>
      </w:r>
    </w:p>
    <w:p w:rsidR="00421A24" w:rsidRDefault="00421A24" w:rsidP="00FF4BCA">
      <w:pPr>
        <w:pStyle w:val="ListParagraph"/>
        <w:numPr>
          <w:ilvl w:val="0"/>
          <w:numId w:val="86"/>
        </w:numPr>
        <w:ind w:left="1134"/>
        <w:jc w:val="both"/>
        <w:rPr>
          <w:rFonts w:ascii="Verdana" w:hAnsi="Verdana"/>
          <w:lang w:val="en-US"/>
        </w:rPr>
      </w:pPr>
      <w:r>
        <w:rPr>
          <w:rFonts w:ascii="Verdana" w:hAnsi="Verdana"/>
          <w:lang w:val="en-US"/>
        </w:rPr>
        <w:t>t</w:t>
      </w:r>
      <w:r w:rsidR="001A690B" w:rsidRPr="005D495C">
        <w:rPr>
          <w:rFonts w:ascii="Verdana" w:hAnsi="Verdana"/>
          <w:lang w:val="en-US"/>
        </w:rPr>
        <w:t xml:space="preserve">he </w:t>
      </w:r>
      <w:r w:rsidR="001A690B" w:rsidRPr="00421A24">
        <w:rPr>
          <w:rFonts w:ascii="Verdana" w:hAnsi="Verdana"/>
          <w:lang w:val="en-US"/>
        </w:rPr>
        <w:t xml:space="preserve">amount of own shares is included in </w:t>
      </w:r>
      <w:r w:rsidRPr="00421A24">
        <w:rPr>
          <w:rFonts w:ascii="Verdana" w:hAnsi="Verdana"/>
          <w:lang w:val="en-US"/>
        </w:rPr>
        <w:t>S.29.01.</w:t>
      </w:r>
      <w:r w:rsidR="001A690B" w:rsidRPr="00421A24">
        <w:rPr>
          <w:rFonts w:ascii="Verdana" w:hAnsi="Verdana"/>
          <w:lang w:val="en-US"/>
        </w:rPr>
        <w:t>R0210 and excluded in</w:t>
      </w:r>
      <w:r w:rsidR="001A690B" w:rsidRPr="005D495C">
        <w:rPr>
          <w:rFonts w:ascii="Verdana" w:hAnsi="Verdana"/>
          <w:lang w:val="en-US"/>
        </w:rPr>
        <w:t xml:space="preserve"> </w:t>
      </w:r>
      <w:r>
        <w:rPr>
          <w:rFonts w:ascii="Verdana" w:hAnsi="Verdana"/>
          <w:lang w:val="en-US"/>
        </w:rPr>
        <w:t>S.29.01.</w:t>
      </w:r>
      <w:r w:rsidR="001A690B" w:rsidRPr="005D495C">
        <w:rPr>
          <w:rFonts w:ascii="Verdana" w:hAnsi="Verdana"/>
          <w:lang w:val="en-US"/>
        </w:rPr>
        <w:t>R0190</w:t>
      </w:r>
      <w:r>
        <w:rPr>
          <w:rFonts w:ascii="Verdana" w:hAnsi="Verdana"/>
          <w:lang w:val="en-US"/>
        </w:rPr>
        <w:t>;</w:t>
      </w:r>
    </w:p>
    <w:p w:rsidR="009062EC" w:rsidRPr="002D660F" w:rsidRDefault="00737DE7" w:rsidP="00FF4BCA">
      <w:pPr>
        <w:pStyle w:val="ListParagraph"/>
        <w:numPr>
          <w:ilvl w:val="0"/>
          <w:numId w:val="86"/>
        </w:numPr>
        <w:ind w:left="1134"/>
        <w:jc w:val="both"/>
        <w:rPr>
          <w:rFonts w:ascii="Verdana" w:hAnsi="Verdana"/>
          <w:lang w:val="en-US"/>
        </w:rPr>
      </w:pPr>
      <w:r w:rsidRPr="00FF4BCA">
        <w:rPr>
          <w:rFonts w:ascii="Verdana" w:hAnsi="Verdana"/>
          <w:lang w:val="en-US"/>
        </w:rPr>
        <w:t xml:space="preserve">the amount of </w:t>
      </w:r>
      <w:r w:rsidR="00FF4BCA" w:rsidRPr="00FF4BCA">
        <w:rPr>
          <w:rFonts w:ascii="Verdana" w:hAnsi="Verdana"/>
          <w:lang w:val="en-US"/>
        </w:rPr>
        <w:t>s</w:t>
      </w:r>
      <w:r w:rsidRPr="00FF4BCA">
        <w:rPr>
          <w:rFonts w:ascii="Verdana" w:hAnsi="Verdana"/>
          <w:lang w:val="en-US"/>
        </w:rPr>
        <w:t xml:space="preserve">urplus </w:t>
      </w:r>
      <w:r w:rsidR="006C0410" w:rsidRPr="00FF4BCA">
        <w:rPr>
          <w:rFonts w:ascii="Verdana" w:hAnsi="Verdana"/>
          <w:lang w:val="en-US"/>
        </w:rPr>
        <w:t>f</w:t>
      </w:r>
      <w:r w:rsidRPr="00FF4BCA">
        <w:rPr>
          <w:rFonts w:ascii="Verdana" w:hAnsi="Verdana"/>
          <w:lang w:val="en-US"/>
        </w:rPr>
        <w:t xml:space="preserve">unds is included in </w:t>
      </w:r>
      <w:r w:rsidR="00421A24" w:rsidRPr="00FF4BCA">
        <w:rPr>
          <w:rFonts w:ascii="Verdana" w:hAnsi="Verdana"/>
          <w:lang w:val="en-US"/>
        </w:rPr>
        <w:t>S.29.01.</w:t>
      </w:r>
      <w:r w:rsidRPr="00FF4BCA">
        <w:rPr>
          <w:rFonts w:ascii="Verdana" w:hAnsi="Verdana"/>
          <w:lang w:val="en-US"/>
        </w:rPr>
        <w:t>R0210</w:t>
      </w:r>
      <w:r w:rsidR="00421A24" w:rsidRPr="00FF4BCA">
        <w:rPr>
          <w:rFonts w:ascii="Verdana" w:hAnsi="Verdana"/>
          <w:lang w:val="en-US"/>
        </w:rPr>
        <w:t xml:space="preserve"> and </w:t>
      </w:r>
      <w:r w:rsidR="00D51BD4" w:rsidRPr="00FF4BCA">
        <w:rPr>
          <w:rFonts w:ascii="Verdana" w:hAnsi="Verdana"/>
          <w:lang w:val="en-US"/>
        </w:rPr>
        <w:t>as the amount</w:t>
      </w:r>
      <w:r w:rsidR="00FF4BCA" w:rsidRPr="00FF4BCA">
        <w:rPr>
          <w:rFonts w:ascii="Verdana" w:hAnsi="Verdana"/>
          <w:lang w:val="en-US"/>
        </w:rPr>
        <w:t>/calculation of the s</w:t>
      </w:r>
      <w:r w:rsidR="00421A24" w:rsidRPr="00FF4BCA">
        <w:rPr>
          <w:rFonts w:ascii="Verdana" w:hAnsi="Verdana"/>
          <w:lang w:val="en-US"/>
        </w:rPr>
        <w:t>urplus</w:t>
      </w:r>
      <w:r w:rsidR="00FF4BCA" w:rsidRPr="00FF4BCA">
        <w:rPr>
          <w:rFonts w:ascii="Verdana" w:hAnsi="Verdana"/>
          <w:lang w:val="en-US"/>
        </w:rPr>
        <w:t xml:space="preserve"> </w:t>
      </w:r>
      <w:r w:rsidR="006C0410" w:rsidRPr="00FF4BCA">
        <w:rPr>
          <w:rFonts w:ascii="Verdana" w:hAnsi="Verdana"/>
          <w:lang w:val="en-US"/>
        </w:rPr>
        <w:t>f</w:t>
      </w:r>
      <w:r w:rsidR="00FF4BCA" w:rsidRPr="00FF4BCA">
        <w:rPr>
          <w:rFonts w:ascii="Verdana" w:hAnsi="Verdana"/>
          <w:lang w:val="en-US"/>
        </w:rPr>
        <w:t>unds</w:t>
      </w:r>
      <w:r w:rsidR="00421A24" w:rsidRPr="00FF4BCA">
        <w:rPr>
          <w:rFonts w:ascii="Verdana" w:hAnsi="Verdana"/>
          <w:lang w:val="en-US"/>
        </w:rPr>
        <w:t xml:space="preserve"> </w:t>
      </w:r>
      <w:r w:rsidR="00D51BD4" w:rsidRPr="00FF4BCA">
        <w:rPr>
          <w:rFonts w:ascii="Verdana" w:hAnsi="Verdana"/>
          <w:lang w:val="en-US"/>
        </w:rPr>
        <w:t xml:space="preserve">may have different </w:t>
      </w:r>
      <w:r w:rsidR="00421A24" w:rsidRPr="00FF4BCA">
        <w:rPr>
          <w:rFonts w:ascii="Verdana" w:hAnsi="Verdana"/>
          <w:lang w:val="en-US"/>
        </w:rPr>
        <w:t>sources</w:t>
      </w:r>
      <w:r w:rsidR="00D51BD4" w:rsidRPr="00FF4BCA">
        <w:rPr>
          <w:rFonts w:ascii="Verdana" w:hAnsi="Verdana"/>
          <w:lang w:val="en-US"/>
        </w:rPr>
        <w:t xml:space="preserve"> such as valuation of assets and technical provisions</w:t>
      </w:r>
      <w:r w:rsidR="00421A24" w:rsidRPr="00FF4BCA">
        <w:rPr>
          <w:rFonts w:ascii="Verdana" w:hAnsi="Verdana"/>
          <w:lang w:val="en-US"/>
        </w:rPr>
        <w:t xml:space="preserve"> using Solvency II valuation</w:t>
      </w:r>
      <w:r w:rsidR="00D51BD4" w:rsidRPr="00FF4BCA">
        <w:rPr>
          <w:rFonts w:ascii="Verdana" w:hAnsi="Verdana"/>
          <w:lang w:val="en-US"/>
        </w:rPr>
        <w:t xml:space="preserve">, </w:t>
      </w:r>
      <w:r w:rsidR="00421A24" w:rsidRPr="00FF4BCA">
        <w:rPr>
          <w:rFonts w:ascii="Verdana" w:hAnsi="Verdana"/>
          <w:lang w:val="en-US"/>
        </w:rPr>
        <w:t>valuation of assets and technical provisions using financial statements</w:t>
      </w:r>
      <w:r w:rsidR="006C0410" w:rsidRPr="00FF4BCA">
        <w:rPr>
          <w:rFonts w:ascii="Verdana" w:hAnsi="Verdana"/>
          <w:lang w:val="en-US"/>
        </w:rPr>
        <w:t xml:space="preserve"> valuation</w:t>
      </w:r>
      <w:r w:rsidR="00421A24" w:rsidRPr="00FF4BCA">
        <w:rPr>
          <w:rFonts w:ascii="Verdana" w:hAnsi="Verdana"/>
          <w:lang w:val="en-US"/>
        </w:rPr>
        <w:t xml:space="preserve">, or </w:t>
      </w:r>
      <w:r w:rsidR="00D51BD4" w:rsidRPr="00FF4BCA">
        <w:rPr>
          <w:rFonts w:ascii="Verdana" w:hAnsi="Verdana"/>
          <w:lang w:val="en-US"/>
        </w:rPr>
        <w:t xml:space="preserve">projection of specific cash-flows, the corresponding adjustments </w:t>
      </w:r>
      <w:r w:rsidR="00D51BD4" w:rsidRPr="002D660F">
        <w:rPr>
          <w:rFonts w:ascii="Verdana" w:hAnsi="Verdana"/>
          <w:lang w:val="en-US"/>
        </w:rPr>
        <w:t xml:space="preserve">should be done in </w:t>
      </w:r>
      <w:r w:rsidR="00421A24" w:rsidRPr="002D660F">
        <w:rPr>
          <w:rFonts w:ascii="Verdana" w:hAnsi="Verdana"/>
          <w:lang w:val="en-US"/>
        </w:rPr>
        <w:t>S.29.01.</w:t>
      </w:r>
      <w:r w:rsidR="00405140" w:rsidRPr="002D660F">
        <w:rPr>
          <w:rFonts w:ascii="Verdana" w:hAnsi="Verdana"/>
          <w:lang w:val="en-US"/>
        </w:rPr>
        <w:t xml:space="preserve">R0250 if needed </w:t>
      </w:r>
      <w:r w:rsidR="00FB55A8" w:rsidRPr="00DF7CC5">
        <w:rPr>
          <w:rFonts w:ascii="Verdana" w:hAnsi="Verdana"/>
          <w:lang w:val="en-US"/>
        </w:rPr>
        <w:t xml:space="preserve">in order </w:t>
      </w:r>
      <w:r w:rsidR="00D51BD4" w:rsidRPr="00DF7CC5">
        <w:rPr>
          <w:rFonts w:ascii="Verdana" w:hAnsi="Verdana"/>
          <w:lang w:val="en-US"/>
        </w:rPr>
        <w:t xml:space="preserve">to </w:t>
      </w:r>
      <w:r w:rsidR="00D51BD4" w:rsidRPr="003E2030">
        <w:rPr>
          <w:rFonts w:ascii="Verdana" w:hAnsi="Verdana"/>
          <w:lang w:val="en-US"/>
        </w:rPr>
        <w:t xml:space="preserve">avoid </w:t>
      </w:r>
      <w:r w:rsidR="004F25A7" w:rsidRPr="003E2030">
        <w:rPr>
          <w:rFonts w:ascii="Verdana" w:hAnsi="Verdana"/>
          <w:lang w:val="en-US"/>
        </w:rPr>
        <w:t>double</w:t>
      </w:r>
      <w:r w:rsidR="002D660F" w:rsidRPr="003E2030">
        <w:rPr>
          <w:rFonts w:ascii="Verdana" w:hAnsi="Verdana"/>
          <w:lang w:val="en-US"/>
        </w:rPr>
        <w:t xml:space="preserve"> counting</w:t>
      </w:r>
      <w:r w:rsidR="00D51BD4" w:rsidRPr="003E2030">
        <w:rPr>
          <w:rFonts w:ascii="Verdana" w:hAnsi="Verdana"/>
          <w:lang w:val="en-US"/>
        </w:rPr>
        <w:t>.</w:t>
      </w:r>
      <w:r w:rsidR="00D51BD4" w:rsidRPr="002D660F">
        <w:rPr>
          <w:rFonts w:ascii="Verdana" w:hAnsi="Verdana"/>
          <w:lang w:val="en-US"/>
        </w:rPr>
        <w:t xml:space="preserve"> </w:t>
      </w:r>
    </w:p>
    <w:p w:rsidR="00055180" w:rsidRPr="00E2336A" w:rsidRDefault="00055180" w:rsidP="003C65DB">
      <w:pPr>
        <w:pStyle w:val="ListParagraph"/>
        <w:rPr>
          <w:rFonts w:ascii="Verdana" w:hAnsi="Verdana"/>
          <w:lang w:val="en-US"/>
        </w:rPr>
      </w:pPr>
    </w:p>
    <w:p w:rsidR="00465636" w:rsidRDefault="00465636" w:rsidP="00E2336A">
      <w:pPr>
        <w:pStyle w:val="ListParagraph"/>
        <w:numPr>
          <w:ilvl w:val="0"/>
          <w:numId w:val="9"/>
        </w:numPr>
        <w:ind w:hanging="720"/>
        <w:jc w:val="both"/>
        <w:rPr>
          <w:rFonts w:ascii="Verdana" w:eastAsia="Verdana" w:hAnsi="Verdana" w:cs="Verdana"/>
          <w:lang w:val="en-US"/>
        </w:rPr>
      </w:pPr>
      <w:r>
        <w:rPr>
          <w:rFonts w:ascii="Verdana" w:eastAsia="Verdana" w:hAnsi="Verdana" w:cs="Verdana"/>
          <w:lang w:val="en-US"/>
        </w:rPr>
        <w:t>S.29.01</w:t>
      </w:r>
      <w:r w:rsidR="00FF4BCA">
        <w:rPr>
          <w:rFonts w:ascii="Verdana" w:eastAsia="Verdana" w:hAnsi="Verdana" w:cs="Verdana"/>
          <w:lang w:val="en-US"/>
        </w:rPr>
        <w:t>.</w:t>
      </w:r>
      <w:r>
        <w:rPr>
          <w:rFonts w:ascii="Verdana" w:eastAsia="Verdana" w:hAnsi="Verdana" w:cs="Verdana"/>
          <w:lang w:val="en-US"/>
        </w:rPr>
        <w:t>R0220 – “</w:t>
      </w:r>
      <w:r w:rsidRPr="00465636">
        <w:rPr>
          <w:rFonts w:ascii="Verdana" w:eastAsia="Verdana" w:hAnsi="Verdana" w:cs="Verdana"/>
          <w:lang w:val="en-US"/>
        </w:rPr>
        <w:t>Variation in Defe</w:t>
      </w:r>
      <w:r w:rsidR="00FF4BCA">
        <w:rPr>
          <w:rFonts w:ascii="Verdana" w:eastAsia="Verdana" w:hAnsi="Verdana" w:cs="Verdana"/>
          <w:lang w:val="en-US"/>
        </w:rPr>
        <w:t>r</w:t>
      </w:r>
      <w:r w:rsidRPr="00465636">
        <w:rPr>
          <w:rFonts w:ascii="Verdana" w:eastAsia="Verdana" w:hAnsi="Verdana" w:cs="Verdana"/>
          <w:lang w:val="en-US"/>
        </w:rPr>
        <w:t>red Tax position</w:t>
      </w:r>
      <w:r>
        <w:rPr>
          <w:rFonts w:ascii="Verdana" w:eastAsia="Verdana" w:hAnsi="Verdana" w:cs="Verdana"/>
          <w:lang w:val="en-US"/>
        </w:rPr>
        <w:t>” and S.29.01</w:t>
      </w:r>
      <w:r w:rsidR="00FF4BCA">
        <w:rPr>
          <w:rFonts w:ascii="Verdana" w:eastAsia="Verdana" w:hAnsi="Verdana" w:cs="Verdana"/>
          <w:lang w:val="en-US"/>
        </w:rPr>
        <w:t>.</w:t>
      </w:r>
      <w:r>
        <w:rPr>
          <w:rFonts w:ascii="Verdana" w:eastAsia="Verdana" w:hAnsi="Verdana" w:cs="Verdana"/>
          <w:lang w:val="en-US"/>
        </w:rPr>
        <w:t>R0230 – “</w:t>
      </w:r>
      <w:r w:rsidRPr="00465636">
        <w:rPr>
          <w:rFonts w:ascii="Verdana" w:eastAsia="Verdana" w:hAnsi="Verdana" w:cs="Verdana"/>
          <w:lang w:val="en-US"/>
        </w:rPr>
        <w:t>Income Tax of the reporting period</w:t>
      </w:r>
      <w:r>
        <w:rPr>
          <w:rFonts w:ascii="Verdana" w:eastAsia="Verdana" w:hAnsi="Verdana" w:cs="Verdana"/>
          <w:lang w:val="en-US"/>
        </w:rPr>
        <w:t xml:space="preserve">” should be determined according to the Instructions of the reporting ITS. </w:t>
      </w:r>
    </w:p>
    <w:p w:rsidR="00465636" w:rsidRPr="00E2336A" w:rsidRDefault="00465636" w:rsidP="007B5229">
      <w:pPr>
        <w:pStyle w:val="ListParagraph"/>
        <w:rPr>
          <w:rFonts w:ascii="Verdana" w:eastAsia="Verdana" w:hAnsi="Verdana" w:cs="Verdana"/>
          <w:lang w:val="en-US"/>
        </w:rPr>
      </w:pPr>
    </w:p>
    <w:p w:rsidR="00055180" w:rsidRPr="005A4847" w:rsidRDefault="00055180" w:rsidP="00E2336A">
      <w:pPr>
        <w:pStyle w:val="ListParagraph"/>
        <w:numPr>
          <w:ilvl w:val="0"/>
          <w:numId w:val="9"/>
        </w:numPr>
        <w:ind w:left="709" w:hanging="709"/>
        <w:jc w:val="both"/>
        <w:rPr>
          <w:rFonts w:ascii="Verdana" w:hAnsi="Verdana"/>
          <w:lang w:val="en-US"/>
        </w:rPr>
      </w:pPr>
      <w:r w:rsidRPr="005A4847">
        <w:rPr>
          <w:rFonts w:ascii="Verdana" w:hAnsi="Verdana"/>
          <w:lang w:val="en-US"/>
        </w:rPr>
        <w:t xml:space="preserve">In S.29.01.R0240 </w:t>
      </w:r>
      <w:r w:rsidRPr="00E2336A">
        <w:rPr>
          <w:rFonts w:ascii="Verdana" w:eastAsia="Verdana" w:hAnsi="Verdana" w:cs="Verdana"/>
          <w:lang w:val="en-US"/>
        </w:rPr>
        <w:t>(</w:t>
      </w:r>
      <w:r w:rsidR="00465636">
        <w:rPr>
          <w:rFonts w:ascii="Verdana" w:eastAsia="Verdana" w:hAnsi="Verdana" w:cs="Verdana"/>
          <w:lang w:val="en-US"/>
        </w:rPr>
        <w:t>“</w:t>
      </w:r>
      <w:r w:rsidRPr="005A4847">
        <w:rPr>
          <w:rFonts w:ascii="Verdana" w:hAnsi="Verdana"/>
          <w:lang w:val="en-US"/>
        </w:rPr>
        <w:t>Dividend distribution</w:t>
      </w:r>
      <w:r w:rsidR="00465636">
        <w:rPr>
          <w:rFonts w:ascii="Verdana" w:eastAsia="Verdana" w:hAnsi="Verdana" w:cs="Verdana"/>
          <w:lang w:val="en-US"/>
        </w:rPr>
        <w:t>”</w:t>
      </w:r>
      <w:r w:rsidRPr="007B5229">
        <w:rPr>
          <w:rFonts w:ascii="Verdana" w:eastAsia="Verdana" w:hAnsi="Verdana" w:cs="Verdana"/>
          <w:lang w:val="en-US"/>
        </w:rPr>
        <w:t>)</w:t>
      </w:r>
      <w:r w:rsidRPr="005A4847">
        <w:rPr>
          <w:rFonts w:ascii="Verdana" w:hAnsi="Verdana"/>
          <w:lang w:val="en-US"/>
        </w:rPr>
        <w:t xml:space="preserve"> </w:t>
      </w:r>
      <w:r>
        <w:rPr>
          <w:rFonts w:ascii="Verdana" w:eastAsia="Verdana" w:hAnsi="Verdana" w:cs="Verdana"/>
          <w:lang w:val="en-US"/>
        </w:rPr>
        <w:t>distribution of profits should be reported</w:t>
      </w:r>
      <w:r w:rsidR="00126AE0">
        <w:rPr>
          <w:rFonts w:ascii="Verdana" w:eastAsia="Verdana" w:hAnsi="Verdana" w:cs="Verdana"/>
          <w:lang w:val="en-US"/>
        </w:rPr>
        <w:t xml:space="preserve"> according to the Instructions</w:t>
      </w:r>
      <w:r w:rsidR="00465636">
        <w:rPr>
          <w:rFonts w:ascii="Verdana" w:eastAsia="Verdana" w:hAnsi="Verdana" w:cs="Verdana"/>
          <w:lang w:val="en-US"/>
        </w:rPr>
        <w:t xml:space="preserve"> of the reporting ITS</w:t>
      </w:r>
      <w:r>
        <w:rPr>
          <w:rFonts w:ascii="Verdana" w:eastAsia="Verdana" w:hAnsi="Verdana" w:cs="Verdana"/>
          <w:lang w:val="en-US"/>
        </w:rPr>
        <w:t>, including any profi</w:t>
      </w:r>
      <w:r w:rsidR="00030273">
        <w:rPr>
          <w:rFonts w:ascii="Verdana" w:eastAsia="Verdana" w:hAnsi="Verdana" w:cs="Verdana"/>
          <w:lang w:val="en-US"/>
        </w:rPr>
        <w:t>t</w:t>
      </w:r>
      <w:r>
        <w:rPr>
          <w:rFonts w:ascii="Verdana" w:eastAsia="Verdana" w:hAnsi="Verdana" w:cs="Verdana"/>
          <w:lang w:val="en-US"/>
        </w:rPr>
        <w:t xml:space="preserve"> transfer to the parent company. </w:t>
      </w:r>
    </w:p>
    <w:p w:rsidR="00A321C6" w:rsidRPr="009C40D1" w:rsidRDefault="00A321C6" w:rsidP="009C40D1">
      <w:pPr>
        <w:pStyle w:val="ListParagraph"/>
        <w:ind w:left="567"/>
        <w:jc w:val="both"/>
        <w:rPr>
          <w:rFonts w:ascii="Verdana" w:hAnsi="Verdana"/>
          <w:lang w:val="en-US"/>
        </w:rPr>
      </w:pPr>
    </w:p>
    <w:p w:rsidR="00F53012" w:rsidRPr="003A5316" w:rsidRDefault="00F53012" w:rsidP="00F53012">
      <w:pPr>
        <w:pStyle w:val="ListParagraph"/>
        <w:numPr>
          <w:ilvl w:val="0"/>
          <w:numId w:val="9"/>
        </w:numPr>
        <w:ind w:left="709" w:hanging="709"/>
        <w:jc w:val="both"/>
        <w:rPr>
          <w:rFonts w:ascii="Verdana" w:hAnsi="Verdana"/>
          <w:lang w:val="en-US"/>
        </w:rPr>
      </w:pPr>
      <w:r w:rsidRPr="007853BA">
        <w:rPr>
          <w:rFonts w:ascii="Verdana" w:hAnsi="Verdana"/>
          <w:lang w:val="en-US"/>
        </w:rPr>
        <w:t xml:space="preserve">Please note that the last </w:t>
      </w:r>
      <w:r>
        <w:rPr>
          <w:rFonts w:ascii="Verdana" w:hAnsi="Verdana"/>
          <w:lang w:val="en-US"/>
        </w:rPr>
        <w:t>row</w:t>
      </w:r>
      <w:r w:rsidRPr="007853BA">
        <w:rPr>
          <w:rFonts w:ascii="Verdana" w:hAnsi="Verdana"/>
          <w:lang w:val="en-US"/>
        </w:rPr>
        <w:t xml:space="preserve"> </w:t>
      </w:r>
      <w:r w:rsidR="00FB55A8">
        <w:rPr>
          <w:rFonts w:ascii="Verdana" w:hAnsi="Verdana"/>
          <w:lang w:val="en-US"/>
        </w:rPr>
        <w:t xml:space="preserve">of </w:t>
      </w:r>
      <w:r w:rsidR="008D2BC7">
        <w:rPr>
          <w:rFonts w:ascii="Verdana" w:hAnsi="Verdana"/>
          <w:lang w:val="en-US"/>
        </w:rPr>
        <w:t xml:space="preserve">S.29.01.R0250 </w:t>
      </w:r>
      <w:r w:rsidRPr="007853BA">
        <w:rPr>
          <w:rFonts w:ascii="Verdana" w:hAnsi="Verdana"/>
          <w:lang w:val="en-US"/>
        </w:rPr>
        <w:t xml:space="preserve">“Other variations” should reflect the variation of </w:t>
      </w:r>
      <w:r w:rsidR="00C26E16">
        <w:rPr>
          <w:rFonts w:ascii="Verdana" w:hAnsi="Verdana"/>
          <w:lang w:val="en-US"/>
        </w:rPr>
        <w:t xml:space="preserve">at least </w:t>
      </w:r>
      <w:r w:rsidRPr="007853BA">
        <w:rPr>
          <w:rFonts w:ascii="Verdana" w:hAnsi="Verdana"/>
          <w:lang w:val="en-US"/>
        </w:rPr>
        <w:t>the following items</w:t>
      </w:r>
      <w:r w:rsidRPr="003A5316">
        <w:rPr>
          <w:rFonts w:ascii="Verdana" w:hAnsi="Verdana"/>
          <w:lang w:val="en-US"/>
        </w:rPr>
        <w:t xml:space="preserve">: </w:t>
      </w:r>
    </w:p>
    <w:p w:rsidR="003054D1" w:rsidRPr="00C26E16" w:rsidRDefault="00C26E16" w:rsidP="00F53012">
      <w:pPr>
        <w:pStyle w:val="ListParagraph"/>
        <w:numPr>
          <w:ilvl w:val="0"/>
          <w:numId w:val="10"/>
        </w:numPr>
        <w:jc w:val="both"/>
        <w:rPr>
          <w:rFonts w:ascii="Verdana" w:hAnsi="Verdana"/>
          <w:lang w:val="en-US"/>
        </w:rPr>
      </w:pPr>
      <w:r w:rsidRPr="005A4847">
        <w:rPr>
          <w:rFonts w:ascii="Verdana" w:hAnsi="Verdana"/>
          <w:lang w:val="en-US"/>
        </w:rPr>
        <w:t xml:space="preserve">Adjustment </w:t>
      </w:r>
      <w:r w:rsidR="001C723E">
        <w:rPr>
          <w:rFonts w:ascii="Verdana" w:hAnsi="Verdana"/>
          <w:lang w:val="en-US"/>
        </w:rPr>
        <w:t>required</w:t>
      </w:r>
      <w:r w:rsidRPr="005A4847">
        <w:rPr>
          <w:rFonts w:ascii="Verdana" w:hAnsi="Verdana"/>
          <w:lang w:val="en-US"/>
        </w:rPr>
        <w:t xml:space="preserve"> to eliminate the d</w:t>
      </w:r>
      <w:r w:rsidRPr="007B5229">
        <w:rPr>
          <w:rFonts w:ascii="Verdana" w:hAnsi="Verdana"/>
          <w:lang w:val="en-US"/>
        </w:rPr>
        <w:t xml:space="preserve">ouble counting from </w:t>
      </w:r>
      <w:r w:rsidR="00465636">
        <w:rPr>
          <w:rFonts w:ascii="Verdana" w:hAnsi="Verdana"/>
          <w:lang w:val="en-US"/>
        </w:rPr>
        <w:t>s</w:t>
      </w:r>
      <w:r w:rsidRPr="00E2336A">
        <w:rPr>
          <w:rFonts w:ascii="Verdana" w:hAnsi="Verdana"/>
          <w:lang w:val="en-US"/>
        </w:rPr>
        <w:t xml:space="preserve">urplus </w:t>
      </w:r>
      <w:r w:rsidR="00465636">
        <w:rPr>
          <w:rFonts w:ascii="Verdana" w:hAnsi="Verdana"/>
          <w:lang w:val="en-US"/>
        </w:rPr>
        <w:t>f</w:t>
      </w:r>
      <w:r w:rsidRPr="007B5229">
        <w:rPr>
          <w:rFonts w:ascii="Verdana" w:hAnsi="Verdana"/>
          <w:lang w:val="en-US"/>
        </w:rPr>
        <w:t>und</w:t>
      </w:r>
      <w:r w:rsidR="00FB55A8">
        <w:rPr>
          <w:rFonts w:ascii="Verdana" w:hAnsi="Verdana"/>
          <w:lang w:val="en-US"/>
        </w:rPr>
        <w:t>s</w:t>
      </w:r>
      <w:r w:rsidRPr="005A4847">
        <w:rPr>
          <w:rFonts w:ascii="Verdana" w:hAnsi="Verdana"/>
          <w:lang w:val="en-US"/>
        </w:rPr>
        <w:t xml:space="preserve"> reporting;</w:t>
      </w:r>
    </w:p>
    <w:p w:rsidR="004644B1" w:rsidRDefault="00F32FDC" w:rsidP="00F53012">
      <w:pPr>
        <w:pStyle w:val="ListParagraph"/>
        <w:numPr>
          <w:ilvl w:val="0"/>
          <w:numId w:val="10"/>
        </w:numPr>
        <w:jc w:val="both"/>
        <w:rPr>
          <w:rFonts w:ascii="Verdana" w:hAnsi="Verdana"/>
          <w:lang w:val="en-US"/>
        </w:rPr>
      </w:pPr>
      <w:r>
        <w:rPr>
          <w:rFonts w:ascii="Verdana" w:hAnsi="Verdana"/>
          <w:lang w:val="en-US"/>
        </w:rPr>
        <w:t>Variation of the amount of a</w:t>
      </w:r>
      <w:r w:rsidR="00F53012" w:rsidRPr="008620C2">
        <w:rPr>
          <w:rFonts w:ascii="Verdana" w:hAnsi="Verdana"/>
          <w:lang w:val="en-US"/>
        </w:rPr>
        <w:t xml:space="preserve">ssets other than investments </w:t>
      </w:r>
      <w:r w:rsidR="00844887">
        <w:rPr>
          <w:rFonts w:ascii="Verdana" w:hAnsi="Verdana"/>
          <w:lang w:val="en-US"/>
        </w:rPr>
        <w:t>as defined above</w:t>
      </w:r>
      <w:r w:rsidR="00F53012" w:rsidRPr="008620C2">
        <w:rPr>
          <w:rFonts w:ascii="Verdana" w:hAnsi="Verdana"/>
          <w:lang w:val="en-US"/>
        </w:rPr>
        <w:t xml:space="preserve"> and other liabilities</w:t>
      </w:r>
      <w:r w:rsidR="00F162FC">
        <w:rPr>
          <w:rFonts w:ascii="Verdana" w:hAnsi="Verdana"/>
          <w:lang w:val="en-US"/>
        </w:rPr>
        <w:t xml:space="preserve"> such as for example </w:t>
      </w:r>
      <w:r w:rsidR="00844887">
        <w:rPr>
          <w:rFonts w:ascii="Verdana" w:hAnsi="Verdana"/>
          <w:lang w:val="en-US"/>
        </w:rPr>
        <w:t>“p</w:t>
      </w:r>
      <w:r w:rsidR="00F162FC">
        <w:rPr>
          <w:rFonts w:ascii="Verdana" w:hAnsi="Verdana"/>
          <w:lang w:val="en-US"/>
        </w:rPr>
        <w:t>roperty, plant &amp; equipment held for own use</w:t>
      </w:r>
      <w:r w:rsidR="00844887">
        <w:rPr>
          <w:rFonts w:ascii="Verdana" w:hAnsi="Verdana"/>
          <w:lang w:val="en-US"/>
        </w:rPr>
        <w:t>”</w:t>
      </w:r>
      <w:r w:rsidR="003B1B20" w:rsidRPr="003B1B20">
        <w:rPr>
          <w:rFonts w:ascii="Verdana" w:hAnsi="Verdana"/>
          <w:lang w:val="en-US"/>
        </w:rPr>
        <w:t xml:space="preserve"> </w:t>
      </w:r>
      <w:r w:rsidR="003B1B20">
        <w:rPr>
          <w:rFonts w:ascii="Verdana" w:hAnsi="Verdana"/>
          <w:lang w:val="en-US"/>
        </w:rPr>
        <w:t xml:space="preserve">and </w:t>
      </w:r>
      <w:r w:rsidR="00844887">
        <w:rPr>
          <w:rFonts w:ascii="Verdana" w:hAnsi="Verdana"/>
          <w:lang w:val="en-US"/>
        </w:rPr>
        <w:t>“r</w:t>
      </w:r>
      <w:r w:rsidR="003B1B20">
        <w:rPr>
          <w:rFonts w:ascii="Verdana" w:hAnsi="Verdana"/>
          <w:lang w:val="en-US"/>
        </w:rPr>
        <w:t>einsurance receivables</w:t>
      </w:r>
      <w:r w:rsidR="00844887">
        <w:rPr>
          <w:rFonts w:ascii="Verdana" w:hAnsi="Verdana"/>
          <w:lang w:val="en-US"/>
        </w:rPr>
        <w:t>”</w:t>
      </w:r>
      <w:r w:rsidR="0094154E">
        <w:rPr>
          <w:rFonts w:ascii="Verdana" w:hAnsi="Verdana"/>
          <w:lang w:val="en-US"/>
        </w:rPr>
        <w:t xml:space="preserve"> as well as “reinsurance payables”</w:t>
      </w:r>
      <w:r w:rsidR="004644B1">
        <w:rPr>
          <w:rFonts w:ascii="Verdana" w:hAnsi="Verdana"/>
          <w:lang w:val="en-US"/>
        </w:rPr>
        <w:t>;</w:t>
      </w:r>
    </w:p>
    <w:p w:rsidR="00F53012" w:rsidRPr="007853BA" w:rsidRDefault="004644B1" w:rsidP="00F53012">
      <w:pPr>
        <w:pStyle w:val="ListParagraph"/>
        <w:numPr>
          <w:ilvl w:val="0"/>
          <w:numId w:val="10"/>
        </w:numPr>
        <w:jc w:val="both"/>
        <w:rPr>
          <w:rFonts w:ascii="Verdana" w:hAnsi="Verdana"/>
          <w:lang w:val="en-US"/>
        </w:rPr>
      </w:pPr>
      <w:r>
        <w:rPr>
          <w:rFonts w:ascii="Verdana" w:hAnsi="Verdana"/>
          <w:lang w:val="en-US"/>
        </w:rPr>
        <w:t xml:space="preserve">Technical flows other than </w:t>
      </w:r>
      <w:r w:rsidR="00844887">
        <w:rPr>
          <w:rFonts w:ascii="Verdana" w:hAnsi="Verdana"/>
          <w:lang w:val="en-US"/>
        </w:rPr>
        <w:t>“</w:t>
      </w:r>
      <w:r>
        <w:rPr>
          <w:rFonts w:ascii="Verdana" w:hAnsi="Verdana"/>
          <w:lang w:val="en-US"/>
        </w:rPr>
        <w:t>premiums</w:t>
      </w:r>
      <w:r w:rsidR="00844887">
        <w:rPr>
          <w:rFonts w:ascii="Verdana" w:hAnsi="Verdana"/>
          <w:lang w:val="en-US"/>
        </w:rPr>
        <w:t>”</w:t>
      </w:r>
      <w:r>
        <w:rPr>
          <w:rFonts w:ascii="Verdana" w:hAnsi="Verdana"/>
          <w:lang w:val="en-US"/>
        </w:rPr>
        <w:t xml:space="preserve">, </w:t>
      </w:r>
      <w:r w:rsidR="00844887">
        <w:rPr>
          <w:rFonts w:ascii="Verdana" w:hAnsi="Verdana"/>
          <w:lang w:val="en-US"/>
        </w:rPr>
        <w:t>“</w:t>
      </w:r>
      <w:r>
        <w:rPr>
          <w:rFonts w:ascii="Verdana" w:hAnsi="Verdana"/>
          <w:lang w:val="en-US"/>
        </w:rPr>
        <w:t>claims and benefits net of salvages and subrogations</w:t>
      </w:r>
      <w:r w:rsidR="00844887">
        <w:rPr>
          <w:rFonts w:ascii="Verdana" w:hAnsi="Verdana"/>
          <w:lang w:val="en-US"/>
        </w:rPr>
        <w:t>”</w:t>
      </w:r>
      <w:r>
        <w:rPr>
          <w:rFonts w:ascii="Verdana" w:hAnsi="Verdana"/>
          <w:lang w:val="en-US"/>
        </w:rPr>
        <w:t xml:space="preserve"> and </w:t>
      </w:r>
      <w:r w:rsidR="00844887">
        <w:rPr>
          <w:rFonts w:ascii="Verdana" w:hAnsi="Verdana"/>
          <w:lang w:val="en-US"/>
        </w:rPr>
        <w:t>“</w:t>
      </w:r>
      <w:r>
        <w:rPr>
          <w:rFonts w:ascii="Verdana" w:hAnsi="Verdana"/>
          <w:lang w:val="en-US"/>
        </w:rPr>
        <w:t xml:space="preserve">expenses </w:t>
      </w:r>
      <w:r w:rsidR="00844887">
        <w:rPr>
          <w:rFonts w:ascii="Verdana" w:hAnsi="Verdana"/>
          <w:lang w:val="en-US"/>
        </w:rPr>
        <w:t>(</w:t>
      </w:r>
      <w:r>
        <w:rPr>
          <w:rFonts w:ascii="Verdana" w:hAnsi="Verdana"/>
          <w:lang w:val="en-US"/>
        </w:rPr>
        <w:t>excluding investment expenses</w:t>
      </w:r>
      <w:r w:rsidR="00844887">
        <w:rPr>
          <w:rFonts w:ascii="Verdana" w:hAnsi="Verdana"/>
          <w:lang w:val="en-US"/>
        </w:rPr>
        <w:t>)”</w:t>
      </w:r>
      <w:r w:rsidR="009A7A49">
        <w:rPr>
          <w:rFonts w:ascii="Verdana" w:hAnsi="Verdana"/>
          <w:lang w:val="en-US"/>
        </w:rPr>
        <w:t xml:space="preserve"> </w:t>
      </w:r>
      <w:r w:rsidR="00844887">
        <w:rPr>
          <w:rFonts w:ascii="Verdana" w:hAnsi="Verdana"/>
          <w:lang w:val="en-US"/>
        </w:rPr>
        <w:t>that are</w:t>
      </w:r>
      <w:r>
        <w:rPr>
          <w:rFonts w:ascii="Verdana" w:hAnsi="Verdana"/>
          <w:lang w:val="en-US"/>
        </w:rPr>
        <w:t xml:space="preserve"> not reported in S.29.03.R0310 to R0350</w:t>
      </w:r>
      <w:r w:rsidR="00AB3F0D">
        <w:rPr>
          <w:rFonts w:ascii="Verdana" w:hAnsi="Verdana"/>
          <w:lang w:val="en-US"/>
        </w:rPr>
        <w:t>.</w:t>
      </w:r>
    </w:p>
    <w:p w:rsidR="00F53012" w:rsidRPr="007853BA" w:rsidRDefault="00CC2013" w:rsidP="005A4847">
      <w:pPr>
        <w:pStyle w:val="ListParagraph"/>
        <w:ind w:left="1069"/>
        <w:jc w:val="both"/>
        <w:rPr>
          <w:rFonts w:ascii="Verdana" w:hAnsi="Verdana"/>
          <w:lang w:val="en-US"/>
        </w:rPr>
      </w:pPr>
      <w:r>
        <w:rPr>
          <w:rFonts w:ascii="Verdana" w:hAnsi="Verdana"/>
          <w:lang w:val="en-US"/>
        </w:rPr>
        <w:t xml:space="preserve"> </w:t>
      </w:r>
    </w:p>
    <w:p w:rsidR="005C2A4D" w:rsidRPr="003C65DB" w:rsidRDefault="00CC2013" w:rsidP="00E2336A">
      <w:pPr>
        <w:pStyle w:val="ListParagraph"/>
        <w:numPr>
          <w:ilvl w:val="0"/>
          <w:numId w:val="9"/>
        </w:numPr>
        <w:ind w:left="709" w:hanging="709"/>
        <w:jc w:val="both"/>
        <w:rPr>
          <w:rFonts w:ascii="Verdana" w:eastAsia="Verdana" w:hAnsi="Verdana" w:cs="Verdana"/>
          <w:lang w:val="en-US"/>
        </w:rPr>
      </w:pPr>
      <w:r w:rsidRPr="005A4847">
        <w:rPr>
          <w:rFonts w:ascii="Verdana" w:hAnsi="Verdana"/>
          <w:lang w:val="en-US"/>
        </w:rPr>
        <w:t xml:space="preserve">The amount reported in S.29.01.R0250 </w:t>
      </w:r>
      <w:r w:rsidR="00F53012" w:rsidRPr="00E2336A">
        <w:rPr>
          <w:rFonts w:ascii="Verdana" w:eastAsia="Verdana" w:hAnsi="Verdana" w:cs="Verdana"/>
          <w:lang w:val="en-US"/>
        </w:rPr>
        <w:t xml:space="preserve">should </w:t>
      </w:r>
      <w:r w:rsidR="00623373">
        <w:rPr>
          <w:rFonts w:ascii="Verdana" w:eastAsia="Verdana" w:hAnsi="Verdana" w:cs="Verdana"/>
          <w:lang w:val="en-US"/>
        </w:rPr>
        <w:t>reflect the amount needed to reconcile the amounts reported in R0190 to R02</w:t>
      </w:r>
      <w:r w:rsidR="00F873A1">
        <w:rPr>
          <w:rFonts w:ascii="Verdana" w:eastAsia="Verdana" w:hAnsi="Verdana" w:cs="Verdana"/>
          <w:lang w:val="en-US"/>
        </w:rPr>
        <w:t>4</w:t>
      </w:r>
      <w:r w:rsidR="00623373">
        <w:rPr>
          <w:rFonts w:ascii="Verdana" w:eastAsia="Verdana" w:hAnsi="Verdana" w:cs="Verdana"/>
          <w:lang w:val="en-US"/>
        </w:rPr>
        <w:t xml:space="preserve">0 </w:t>
      </w:r>
      <w:r w:rsidR="00F53012" w:rsidRPr="003C65DB">
        <w:rPr>
          <w:rFonts w:ascii="Verdana" w:eastAsia="Verdana" w:hAnsi="Verdana" w:cs="Verdana"/>
          <w:lang w:val="en-US"/>
        </w:rPr>
        <w:t>with the amount obtained by the difference between EoAoL at the end of the period and EoAoL at the beginning of the period</w:t>
      </w:r>
      <w:r w:rsidR="00606DC5">
        <w:rPr>
          <w:rFonts w:ascii="Verdana" w:eastAsia="Verdana" w:hAnsi="Verdana" w:cs="Verdana"/>
          <w:lang w:val="en-US"/>
        </w:rPr>
        <w:t xml:space="preserve"> </w:t>
      </w:r>
      <w:r w:rsidR="003F71EA">
        <w:rPr>
          <w:rFonts w:ascii="Verdana" w:eastAsia="Verdana" w:hAnsi="Verdana" w:cs="Verdana"/>
          <w:lang w:val="en-US"/>
        </w:rPr>
        <w:t>(R0130)</w:t>
      </w:r>
      <w:r w:rsidR="00606DC5">
        <w:rPr>
          <w:rFonts w:ascii="Verdana" w:eastAsia="Verdana" w:hAnsi="Verdana" w:cs="Verdana"/>
          <w:lang w:val="en-US"/>
        </w:rPr>
        <w:t xml:space="preserve"> (</w:t>
      </w:r>
      <w:r w:rsidR="00FB55A8">
        <w:rPr>
          <w:rFonts w:ascii="Verdana" w:eastAsia="Verdana" w:hAnsi="Verdana" w:cs="Verdana"/>
          <w:lang w:val="en-US"/>
        </w:rPr>
        <w:t xml:space="preserve">please </w:t>
      </w:r>
      <w:r w:rsidR="00606DC5">
        <w:rPr>
          <w:rFonts w:ascii="Verdana" w:eastAsia="Verdana" w:hAnsi="Verdana" w:cs="Verdana"/>
          <w:lang w:val="en-US"/>
        </w:rPr>
        <w:t>see BV144</w:t>
      </w:r>
      <w:r w:rsidR="00FB55A8">
        <w:rPr>
          <w:rFonts w:ascii="Verdana" w:eastAsia="Verdana" w:hAnsi="Verdana" w:cs="Verdana"/>
          <w:lang w:val="en-US"/>
        </w:rPr>
        <w:t xml:space="preserve"> of the list of validations</w:t>
      </w:r>
      <w:r w:rsidR="00606DC5">
        <w:rPr>
          <w:rFonts w:ascii="Verdana" w:eastAsia="Verdana" w:hAnsi="Verdana" w:cs="Verdana"/>
          <w:lang w:val="en-US"/>
        </w:rPr>
        <w:t>)</w:t>
      </w:r>
      <w:r w:rsidR="00F53012" w:rsidRPr="003C65DB">
        <w:rPr>
          <w:rFonts w:ascii="Verdana" w:eastAsia="Verdana" w:hAnsi="Verdana" w:cs="Verdana"/>
          <w:lang w:val="en-US"/>
        </w:rPr>
        <w:t>.</w:t>
      </w:r>
    </w:p>
    <w:p w:rsidR="00F53012" w:rsidRDefault="00F53012" w:rsidP="00F53012">
      <w:pPr>
        <w:pStyle w:val="ListParagraph"/>
        <w:ind w:left="709"/>
        <w:jc w:val="both"/>
        <w:rPr>
          <w:rFonts w:ascii="Verdana" w:hAnsi="Verdana"/>
          <w:lang w:val="en-US"/>
        </w:rPr>
      </w:pPr>
      <w:r>
        <w:rPr>
          <w:rFonts w:ascii="Verdana" w:hAnsi="Verdana"/>
          <w:lang w:val="en-US"/>
        </w:rPr>
        <w:t xml:space="preserve"> </w:t>
      </w:r>
    </w:p>
    <w:p w:rsidR="0065604E" w:rsidRPr="007853BA" w:rsidRDefault="007103E6" w:rsidP="00FA1A3E">
      <w:pPr>
        <w:pStyle w:val="ListParagraph"/>
        <w:numPr>
          <w:ilvl w:val="0"/>
          <w:numId w:val="9"/>
        </w:numPr>
        <w:ind w:left="709" w:hanging="709"/>
        <w:jc w:val="both"/>
        <w:rPr>
          <w:rFonts w:ascii="Verdana" w:hAnsi="Verdana"/>
          <w:lang w:val="en-US"/>
        </w:rPr>
      </w:pPr>
      <w:r w:rsidRPr="007853BA">
        <w:rPr>
          <w:rFonts w:ascii="Verdana" w:hAnsi="Verdana"/>
          <w:lang w:val="en-US"/>
        </w:rPr>
        <w:t xml:space="preserve">Concluding, </w:t>
      </w:r>
      <w:r w:rsidRPr="00AD7EC0">
        <w:rPr>
          <w:rFonts w:ascii="Verdana" w:eastAsia="Verdana" w:hAnsi="Verdana" w:cs="Verdana"/>
          <w:lang w:val="en-US"/>
        </w:rPr>
        <w:t>t</w:t>
      </w:r>
      <w:r w:rsidR="0065604E" w:rsidRPr="009C40D1">
        <w:rPr>
          <w:rFonts w:ascii="Verdana" w:hAnsi="Verdana"/>
          <w:lang w:val="en-US"/>
        </w:rPr>
        <w:t>hese</w:t>
      </w:r>
      <w:r w:rsidR="0065604E" w:rsidRPr="007853BA">
        <w:rPr>
          <w:rFonts w:ascii="Verdana" w:hAnsi="Verdana"/>
          <w:lang w:val="en-US"/>
        </w:rPr>
        <w:t xml:space="preserve"> two parts of </w:t>
      </w:r>
      <w:r w:rsidR="0065604E" w:rsidRPr="005C2A4D">
        <w:rPr>
          <w:rFonts w:ascii="Verdana" w:hAnsi="Verdana"/>
          <w:lang w:val="en-US"/>
        </w:rPr>
        <w:t xml:space="preserve">the template present two analysis of the </w:t>
      </w:r>
      <w:r w:rsidR="00F06B37">
        <w:rPr>
          <w:rFonts w:ascii="Verdana" w:hAnsi="Verdana"/>
          <w:lang w:val="en-US"/>
        </w:rPr>
        <w:t>EoAoL</w:t>
      </w:r>
      <w:r w:rsidR="0065604E" w:rsidRPr="005C2A4D">
        <w:rPr>
          <w:rFonts w:ascii="Verdana" w:hAnsi="Verdana"/>
          <w:lang w:val="en-US"/>
        </w:rPr>
        <w:t xml:space="preserve">, </w:t>
      </w:r>
      <w:r w:rsidR="00F06B37">
        <w:rPr>
          <w:rFonts w:ascii="Verdana" w:hAnsi="Verdana"/>
          <w:lang w:val="en-US"/>
        </w:rPr>
        <w:t>one</w:t>
      </w:r>
      <w:r w:rsidR="0065604E" w:rsidRPr="005C2A4D">
        <w:rPr>
          <w:rFonts w:ascii="Verdana" w:hAnsi="Verdana"/>
          <w:lang w:val="en-US"/>
        </w:rPr>
        <w:t xml:space="preserve"> by </w:t>
      </w:r>
      <w:r w:rsidR="005C2A4D">
        <w:rPr>
          <w:rFonts w:ascii="Verdana" w:hAnsi="Verdana"/>
          <w:lang w:val="en-US"/>
        </w:rPr>
        <w:t>“</w:t>
      </w:r>
      <w:r w:rsidR="0065604E" w:rsidRPr="005C2A4D">
        <w:rPr>
          <w:rFonts w:ascii="Verdana" w:hAnsi="Verdana"/>
          <w:lang w:val="en-US"/>
        </w:rPr>
        <w:t>nature</w:t>
      </w:r>
      <w:r w:rsidR="005C2A4D">
        <w:rPr>
          <w:rFonts w:ascii="Verdana" w:hAnsi="Verdana"/>
          <w:lang w:val="en-US"/>
        </w:rPr>
        <w:t>”</w:t>
      </w:r>
      <w:r w:rsidR="003E6AEE" w:rsidRPr="005C2A4D">
        <w:rPr>
          <w:rFonts w:ascii="Verdana" w:hAnsi="Verdana"/>
          <w:lang w:val="en-US"/>
        </w:rPr>
        <w:t xml:space="preserve"> and</w:t>
      </w:r>
      <w:r w:rsidR="007853BA" w:rsidRPr="005C2A4D">
        <w:rPr>
          <w:rFonts w:ascii="Verdana" w:hAnsi="Verdana"/>
          <w:lang w:val="en-US"/>
        </w:rPr>
        <w:t xml:space="preserve"> </w:t>
      </w:r>
      <w:r w:rsidR="00F06B37">
        <w:rPr>
          <w:rFonts w:ascii="Verdana" w:hAnsi="Verdana"/>
          <w:lang w:val="en-US"/>
        </w:rPr>
        <w:t xml:space="preserve">one </w:t>
      </w:r>
      <w:r w:rsidR="0065604E" w:rsidRPr="005C2A4D">
        <w:rPr>
          <w:rFonts w:ascii="Verdana" w:hAnsi="Verdana"/>
          <w:lang w:val="en-US"/>
        </w:rPr>
        <w:t>by “origin”</w:t>
      </w:r>
      <w:r w:rsidRPr="005C2A4D">
        <w:rPr>
          <w:rFonts w:ascii="Verdana" w:hAnsi="Verdana"/>
          <w:lang w:val="en-US"/>
        </w:rPr>
        <w:t xml:space="preserve"> which explains why </w:t>
      </w:r>
      <w:r w:rsidR="00F06B37">
        <w:rPr>
          <w:rFonts w:ascii="Verdana" w:hAnsi="Verdana"/>
          <w:lang w:val="en-US"/>
        </w:rPr>
        <w:t>elements</w:t>
      </w:r>
      <w:r w:rsidR="00F06B37" w:rsidRPr="005C2A4D">
        <w:rPr>
          <w:rFonts w:ascii="Verdana" w:hAnsi="Verdana"/>
          <w:lang w:val="en-US"/>
        </w:rPr>
        <w:t xml:space="preserve"> </w:t>
      </w:r>
      <w:r w:rsidRPr="005C2A4D">
        <w:rPr>
          <w:rFonts w:ascii="Verdana" w:hAnsi="Verdana"/>
          <w:lang w:val="en-US"/>
        </w:rPr>
        <w:t>are reported more</w:t>
      </w:r>
      <w:r w:rsidRPr="007140FC">
        <w:rPr>
          <w:rFonts w:ascii="Verdana" w:hAnsi="Verdana"/>
          <w:lang w:val="en-US"/>
        </w:rPr>
        <w:t xml:space="preserve"> than once</w:t>
      </w:r>
      <w:r w:rsidR="0065604E" w:rsidRPr="007140FC">
        <w:rPr>
          <w:rFonts w:ascii="Verdana" w:hAnsi="Verdana"/>
          <w:lang w:val="en-US"/>
        </w:rPr>
        <w:t>:</w:t>
      </w:r>
    </w:p>
    <w:p w:rsidR="0065604E" w:rsidRPr="008F4117" w:rsidRDefault="008F4117" w:rsidP="00FA1A3E">
      <w:pPr>
        <w:pStyle w:val="ListParagraph"/>
        <w:ind w:left="567"/>
        <w:jc w:val="both"/>
        <w:rPr>
          <w:lang w:val="en-GB"/>
        </w:rPr>
      </w:pPr>
      <w:r w:rsidRPr="008F4117">
        <w:rPr>
          <w:lang w:val="en-GB"/>
        </w:rPr>
        <w:t xml:space="preserve"> </w:t>
      </w:r>
      <w:r w:rsidRPr="008F4117">
        <w:rPr>
          <w:noProof/>
          <w:lang w:val="en-GB" w:eastAsia="en-GB"/>
        </w:rPr>
        <w:drawing>
          <wp:inline distT="0" distB="0" distL="0" distR="0" wp14:anchorId="7037F3E2" wp14:editId="23EFC7AF">
            <wp:extent cx="5449824" cy="1426464"/>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62050" cy="1429664"/>
                    </a:xfrm>
                    <a:prstGeom prst="rect">
                      <a:avLst/>
                    </a:prstGeom>
                    <a:noFill/>
                    <a:ln>
                      <a:noFill/>
                    </a:ln>
                  </pic:spPr>
                </pic:pic>
              </a:graphicData>
            </a:graphic>
          </wp:inline>
        </w:drawing>
      </w:r>
    </w:p>
    <w:p w:rsidR="00DB46FF" w:rsidRDefault="00DB46FF" w:rsidP="003E6AEE">
      <w:pPr>
        <w:pStyle w:val="ListParagraph"/>
        <w:ind w:left="709"/>
        <w:jc w:val="both"/>
        <w:rPr>
          <w:rFonts w:ascii="Verdana" w:hAnsi="Verdana"/>
          <w:lang w:val="en-US"/>
        </w:rPr>
      </w:pPr>
    </w:p>
    <w:p w:rsidR="00C62FAB" w:rsidRPr="007140FC" w:rsidRDefault="00C62FAB" w:rsidP="003E6AEE">
      <w:pPr>
        <w:pStyle w:val="Heading1"/>
        <w:rPr>
          <w:rFonts w:ascii="Verdana" w:hAnsi="Verdana"/>
          <w:b w:val="0"/>
          <w:lang w:val="en-US"/>
        </w:rPr>
      </w:pPr>
      <w:r w:rsidRPr="007853BA">
        <w:rPr>
          <w:rFonts w:ascii="Verdana" w:hAnsi="Verdana"/>
          <w:sz w:val="22"/>
          <w:lang w:val="en-US"/>
        </w:rPr>
        <w:t>Q</w:t>
      </w:r>
      <w:r w:rsidR="006B1C48">
        <w:rPr>
          <w:rFonts w:ascii="Verdana" w:hAnsi="Verdana"/>
          <w:sz w:val="22"/>
          <w:lang w:val="en-US"/>
        </w:rPr>
        <w:t>uestions</w:t>
      </w:r>
      <w:r w:rsidRPr="007853BA">
        <w:rPr>
          <w:rFonts w:ascii="Verdana" w:hAnsi="Verdana"/>
          <w:sz w:val="22"/>
          <w:lang w:val="en-US"/>
        </w:rPr>
        <w:t xml:space="preserve"> on S.29.01 - Excess of Assets over Liabilities</w:t>
      </w:r>
      <w:r w:rsidR="00CB4E26">
        <w:rPr>
          <w:rStyle w:val="FootnoteReference"/>
          <w:rFonts w:ascii="Verdana" w:hAnsi="Verdana"/>
          <w:sz w:val="22"/>
          <w:lang w:val="en-US"/>
        </w:rPr>
        <w:footnoteReference w:id="3"/>
      </w:r>
    </w:p>
    <w:p w:rsidR="00D616B5" w:rsidRPr="007853BA" w:rsidRDefault="00D616B5" w:rsidP="003E2030">
      <w:pPr>
        <w:pBdr>
          <w:top w:val="single" w:sz="4" w:space="1" w:color="auto"/>
          <w:left w:val="single" w:sz="4" w:space="1" w:color="auto"/>
          <w:bottom w:val="single" w:sz="4" w:space="1" w:color="auto"/>
          <w:right w:val="single" w:sz="4" w:space="4" w:color="auto"/>
        </w:pBdr>
        <w:jc w:val="both"/>
        <w:rPr>
          <w:rFonts w:ascii="Verdana" w:hAnsi="Verdana"/>
          <w:lang w:val="en-US"/>
        </w:rPr>
      </w:pPr>
      <w:r w:rsidRPr="007853BA">
        <w:rPr>
          <w:rFonts w:ascii="Verdana" w:hAnsi="Verdana"/>
          <w:b/>
          <w:lang w:val="en-US"/>
        </w:rPr>
        <w:t>Q</w:t>
      </w:r>
      <w:r w:rsidR="00817D65">
        <w:rPr>
          <w:rFonts w:ascii="Verdana" w:hAnsi="Verdana"/>
          <w:b/>
          <w:lang w:val="en-US"/>
        </w:rPr>
        <w:t>&amp;A</w:t>
      </w:r>
      <w:r w:rsidR="00B56F8D">
        <w:rPr>
          <w:rFonts w:ascii="Verdana" w:hAnsi="Verdana"/>
          <w:b/>
          <w:lang w:val="en-US"/>
        </w:rPr>
        <w:t xml:space="preserve"> </w:t>
      </w:r>
      <w:r w:rsidR="00817D65">
        <w:rPr>
          <w:rFonts w:ascii="Verdana" w:hAnsi="Verdana"/>
          <w:b/>
          <w:lang w:val="en-US"/>
        </w:rPr>
        <w:t>524</w:t>
      </w:r>
      <w:r w:rsidRPr="007853BA">
        <w:rPr>
          <w:rFonts w:ascii="Verdana" w:hAnsi="Verdana"/>
          <w:b/>
          <w:lang w:val="en-US"/>
        </w:rPr>
        <w:t>:</w:t>
      </w:r>
    </w:p>
    <w:p w:rsidR="00D616B5" w:rsidRPr="007501B6" w:rsidRDefault="00D616B5" w:rsidP="003E2030">
      <w:pPr>
        <w:pBdr>
          <w:top w:val="single" w:sz="4" w:space="1" w:color="auto"/>
          <w:left w:val="single" w:sz="4" w:space="1" w:color="auto"/>
          <w:bottom w:val="single" w:sz="4" w:space="1" w:color="auto"/>
          <w:right w:val="single" w:sz="4" w:space="4" w:color="auto"/>
        </w:pBdr>
        <w:jc w:val="both"/>
        <w:rPr>
          <w:rFonts w:ascii="Verdana" w:hAnsi="Verdana"/>
          <w:lang w:val="en-US"/>
        </w:rPr>
      </w:pPr>
      <w:r w:rsidRPr="00AD7EC0">
        <w:rPr>
          <w:rFonts w:ascii="Verdana" w:hAnsi="Verdana"/>
          <w:lang w:val="en-US"/>
        </w:rPr>
        <w:t>Th</w:t>
      </w:r>
      <w:r w:rsidRPr="007501B6">
        <w:rPr>
          <w:rFonts w:ascii="Verdana" w:hAnsi="Verdana"/>
          <w:lang w:val="en-US"/>
        </w:rPr>
        <w:t>e cell S.29.01</w:t>
      </w:r>
      <w:r w:rsidR="00473618" w:rsidRPr="007501B6">
        <w:rPr>
          <w:rFonts w:ascii="Verdana" w:hAnsi="Verdana"/>
          <w:lang w:val="en-US"/>
        </w:rPr>
        <w:t>.</w:t>
      </w:r>
      <w:r w:rsidRPr="007501B6">
        <w:rPr>
          <w:rFonts w:ascii="Verdana" w:hAnsi="Verdana"/>
          <w:lang w:val="en-US"/>
        </w:rPr>
        <w:t>R0180 would appear to be the sum of R0130 to R0170. But is this supposed to agree to R0080? If so, then this is itself confusing because this section (R</w:t>
      </w:r>
      <w:r w:rsidR="00473618" w:rsidRPr="007501B6">
        <w:rPr>
          <w:rFonts w:ascii="Verdana" w:hAnsi="Verdana"/>
          <w:lang w:val="en-US"/>
        </w:rPr>
        <w:t>0</w:t>
      </w:r>
      <w:r w:rsidRPr="007501B6">
        <w:rPr>
          <w:rFonts w:ascii="Verdana" w:hAnsi="Verdana"/>
          <w:lang w:val="en-US"/>
        </w:rPr>
        <w:t>130-R</w:t>
      </w:r>
      <w:r w:rsidR="00473618" w:rsidRPr="007501B6">
        <w:rPr>
          <w:rFonts w:ascii="Verdana" w:hAnsi="Verdana"/>
          <w:lang w:val="en-US"/>
        </w:rPr>
        <w:t>0</w:t>
      </w:r>
      <w:r w:rsidRPr="007501B6">
        <w:rPr>
          <w:rFonts w:ascii="Verdana" w:hAnsi="Verdana"/>
          <w:lang w:val="en-US"/>
        </w:rPr>
        <w:t>180) seems to be about the variation in the reconciliation reserve but R0130 is the variation in the excess of assets over liablities. This is a function of both the GAAP P&amp;L (surplus funds) and the reconciliation reserve. Is R0250 a stand alone item or a sub-total?</w:t>
      </w:r>
    </w:p>
    <w:p w:rsidR="00D616B5" w:rsidRPr="007501B6" w:rsidRDefault="00D616B5" w:rsidP="003E2030">
      <w:pPr>
        <w:pBdr>
          <w:top w:val="single" w:sz="4" w:space="1" w:color="auto"/>
          <w:left w:val="single" w:sz="4" w:space="1" w:color="auto"/>
          <w:bottom w:val="single" w:sz="4" w:space="1" w:color="auto"/>
          <w:right w:val="single" w:sz="4" w:space="4" w:color="auto"/>
        </w:pBdr>
        <w:jc w:val="both"/>
        <w:rPr>
          <w:rFonts w:ascii="Verdana" w:hAnsi="Verdana"/>
          <w:b/>
          <w:lang w:val="en-US"/>
        </w:rPr>
      </w:pPr>
      <w:r w:rsidRPr="007501B6">
        <w:rPr>
          <w:rFonts w:ascii="Verdana" w:hAnsi="Verdana"/>
          <w:b/>
          <w:lang w:val="en-US"/>
        </w:rPr>
        <w:t>Answer:</w:t>
      </w:r>
    </w:p>
    <w:p w:rsidR="00D616B5" w:rsidRPr="007501B6" w:rsidRDefault="00D616B5" w:rsidP="003E2030">
      <w:pPr>
        <w:pBdr>
          <w:top w:val="single" w:sz="4" w:space="1" w:color="auto"/>
          <w:left w:val="single" w:sz="4" w:space="1" w:color="auto"/>
          <w:bottom w:val="single" w:sz="4" w:space="1" w:color="auto"/>
          <w:right w:val="single" w:sz="4" w:space="4" w:color="auto"/>
        </w:pBdr>
        <w:jc w:val="both"/>
        <w:rPr>
          <w:rFonts w:ascii="Verdana" w:hAnsi="Verdana"/>
          <w:lang w:val="en-GB"/>
        </w:rPr>
      </w:pPr>
      <w:r w:rsidRPr="007501B6">
        <w:rPr>
          <w:rFonts w:ascii="Verdana" w:hAnsi="Verdana"/>
          <w:lang w:val="en-GB"/>
        </w:rPr>
        <w:t>The variation of Reconciliation Reserve (S.29.01.R0180) corresponds to the value reported in R0130 minus</w:t>
      </w:r>
      <w:r w:rsidR="00473618" w:rsidRPr="007501B6">
        <w:rPr>
          <w:rFonts w:ascii="Verdana" w:hAnsi="Verdana"/>
          <w:lang w:val="en-GB"/>
        </w:rPr>
        <w:t xml:space="preserve"> the sum of </w:t>
      </w:r>
      <w:r w:rsidRPr="007501B6">
        <w:rPr>
          <w:rFonts w:ascii="Verdana" w:hAnsi="Verdana"/>
          <w:lang w:val="en-GB"/>
        </w:rPr>
        <w:t xml:space="preserve">R0140 to R0170. The value reported in R0180 is the same as in R0080/C0030. This is actually identified as “identical data point” in the “EIOPA_Solvency II_Validations”. This means that when reporting in XBRL </w:t>
      </w:r>
      <w:r w:rsidR="008918CE" w:rsidRPr="007501B6">
        <w:rPr>
          <w:rFonts w:ascii="Verdana" w:hAnsi="Verdana"/>
          <w:lang w:val="en-GB"/>
        </w:rPr>
        <w:t>this amount is reported</w:t>
      </w:r>
      <w:r w:rsidRPr="007501B6">
        <w:rPr>
          <w:rFonts w:ascii="Verdana" w:hAnsi="Verdana"/>
          <w:lang w:val="en-GB"/>
        </w:rPr>
        <w:t xml:space="preserve"> only once. The Excess of Assets over Liabilities (EoAoL) reported in R0130 is the Solvency II EoAoL, not a function of </w:t>
      </w:r>
      <w:r w:rsidR="00276E7C" w:rsidRPr="007501B6">
        <w:rPr>
          <w:rFonts w:ascii="Verdana" w:hAnsi="Verdana"/>
          <w:lang w:val="en-GB"/>
        </w:rPr>
        <w:t xml:space="preserve">accounting </w:t>
      </w:r>
      <w:r w:rsidRPr="007501B6">
        <w:rPr>
          <w:rFonts w:ascii="Verdana" w:hAnsi="Verdana"/>
          <w:lang w:val="en-GB"/>
        </w:rPr>
        <w:t xml:space="preserve">GAAP. </w:t>
      </w:r>
    </w:p>
    <w:p w:rsidR="00D616B5" w:rsidRPr="007501B6" w:rsidRDefault="00D616B5" w:rsidP="003E2030">
      <w:pPr>
        <w:pBdr>
          <w:top w:val="single" w:sz="4" w:space="1" w:color="auto"/>
          <w:left w:val="single" w:sz="4" w:space="1" w:color="auto"/>
          <w:bottom w:val="single" w:sz="4" w:space="1" w:color="auto"/>
          <w:right w:val="single" w:sz="4" w:space="4" w:color="auto"/>
        </w:pBdr>
        <w:jc w:val="both"/>
        <w:rPr>
          <w:rFonts w:ascii="Verdana" w:hAnsi="Verdana"/>
          <w:lang w:val="en-US"/>
        </w:rPr>
      </w:pPr>
      <w:r w:rsidRPr="007501B6">
        <w:rPr>
          <w:rFonts w:ascii="Verdana" w:hAnsi="Verdana"/>
          <w:lang w:val="en-GB"/>
        </w:rPr>
        <w:t xml:space="preserve">Cell S.29.01.R0250 is a standalone item and intends to allow the reporting of any remaining variation in the </w:t>
      </w:r>
      <w:r w:rsidR="00F22831">
        <w:rPr>
          <w:rFonts w:ascii="Verdana" w:hAnsi="Verdana"/>
          <w:lang w:val="en-GB"/>
        </w:rPr>
        <w:t>EoAoL</w:t>
      </w:r>
      <w:r w:rsidRPr="007501B6">
        <w:rPr>
          <w:rFonts w:ascii="Verdana" w:hAnsi="Verdana"/>
          <w:lang w:val="en-GB"/>
        </w:rPr>
        <w:t xml:space="preserve"> not captured by R0190 to R0240</w:t>
      </w:r>
      <w:r w:rsidR="00F22831">
        <w:rPr>
          <w:rFonts w:ascii="Verdana" w:hAnsi="Verdana"/>
          <w:lang w:val="en-GB"/>
        </w:rPr>
        <w:t xml:space="preserve"> or in case of surplus funds to avoid double count within the template</w:t>
      </w:r>
      <w:r w:rsidRPr="007501B6">
        <w:rPr>
          <w:rFonts w:ascii="Verdana" w:hAnsi="Verdana"/>
          <w:lang w:val="en-GB"/>
        </w:rPr>
        <w:t>. </w:t>
      </w:r>
    </w:p>
    <w:p w:rsidR="00C62FAB" w:rsidRPr="007501B6" w:rsidRDefault="00C62FAB" w:rsidP="003E2030">
      <w:pPr>
        <w:pBdr>
          <w:top w:val="single" w:sz="4" w:space="1" w:color="auto"/>
          <w:left w:val="single" w:sz="4" w:space="1" w:color="auto"/>
          <w:bottom w:val="single" w:sz="4" w:space="1" w:color="auto"/>
          <w:right w:val="single" w:sz="4" w:space="4" w:color="auto"/>
        </w:pBdr>
        <w:jc w:val="both"/>
        <w:rPr>
          <w:rFonts w:ascii="Verdana" w:hAnsi="Verdana"/>
          <w:b/>
          <w:lang w:val="en-US"/>
        </w:rPr>
      </w:pPr>
      <w:r w:rsidRPr="007501B6">
        <w:rPr>
          <w:rFonts w:ascii="Verdana" w:hAnsi="Verdana"/>
          <w:b/>
          <w:lang w:val="en-US"/>
        </w:rPr>
        <w:t>Question:</w:t>
      </w:r>
    </w:p>
    <w:p w:rsidR="00C62FAB" w:rsidRPr="007501B6" w:rsidRDefault="00C62FAB" w:rsidP="003E2030">
      <w:pPr>
        <w:pBdr>
          <w:top w:val="single" w:sz="4" w:space="1" w:color="auto"/>
          <w:left w:val="single" w:sz="4" w:space="1" w:color="auto"/>
          <w:bottom w:val="single" w:sz="4" w:space="1" w:color="auto"/>
          <w:right w:val="single" w:sz="4" w:space="4" w:color="auto"/>
        </w:pBdr>
        <w:tabs>
          <w:tab w:val="left" w:pos="5387"/>
        </w:tabs>
        <w:rPr>
          <w:rFonts w:ascii="Verdana" w:hAnsi="Verdana"/>
          <w:lang w:val="en-US"/>
        </w:rPr>
      </w:pPr>
      <w:r w:rsidRPr="007501B6">
        <w:rPr>
          <w:rFonts w:ascii="Verdana" w:hAnsi="Verdana"/>
          <w:lang w:val="en-US"/>
        </w:rPr>
        <w:t xml:space="preserve">Should the variation of Surplus Fund be included in R0210 (as stated in the Instructions) if this variation is already captured as part of the other variation categories (i.e. within cells R0190, R0200 etc.) under the ‘Summary Analysis of Variation of Excess of Assets over Liabilities’? </w:t>
      </w:r>
    </w:p>
    <w:p w:rsidR="00C62FAB" w:rsidRPr="007501B6" w:rsidRDefault="00C62FAB" w:rsidP="003E2030">
      <w:pPr>
        <w:pBdr>
          <w:top w:val="single" w:sz="4" w:space="1" w:color="auto"/>
          <w:left w:val="single" w:sz="4" w:space="1" w:color="auto"/>
          <w:bottom w:val="single" w:sz="4" w:space="1" w:color="auto"/>
          <w:right w:val="single" w:sz="4" w:space="4" w:color="auto"/>
        </w:pBdr>
        <w:rPr>
          <w:rFonts w:ascii="Verdana" w:hAnsi="Verdana"/>
          <w:lang w:val="en-US"/>
        </w:rPr>
      </w:pPr>
      <w:r w:rsidRPr="007501B6">
        <w:rPr>
          <w:rFonts w:ascii="Verdana" w:hAnsi="Verdana"/>
          <w:lang w:val="en-US"/>
        </w:rPr>
        <w:t>Including variation of surplus funds in R0210 results in double count of variation relating to surplus funds ?</w:t>
      </w:r>
    </w:p>
    <w:p w:rsidR="00C62FAB" w:rsidRPr="007501B6" w:rsidRDefault="00C62FAB" w:rsidP="003E2030">
      <w:pPr>
        <w:pBdr>
          <w:top w:val="single" w:sz="4" w:space="1" w:color="auto"/>
          <w:left w:val="single" w:sz="4" w:space="1" w:color="auto"/>
          <w:bottom w:val="single" w:sz="4" w:space="1" w:color="auto"/>
          <w:right w:val="single" w:sz="4" w:space="4" w:color="auto"/>
        </w:pBdr>
        <w:rPr>
          <w:rFonts w:ascii="Verdana" w:hAnsi="Verdana"/>
          <w:b/>
          <w:lang w:val="en-US"/>
        </w:rPr>
      </w:pPr>
      <w:r w:rsidRPr="007501B6">
        <w:rPr>
          <w:rFonts w:ascii="Verdana" w:hAnsi="Verdana"/>
          <w:lang w:val="en-US"/>
        </w:rPr>
        <w:t>Instructions of R0210: “This amount explains the part of the variation of Excess of Assets over Liabilities due to movements in “pure” capital items, such as Ordinary share capital (gross of own shares), Preference shares, Surplus funds”.</w:t>
      </w:r>
      <w:r w:rsidRPr="007501B6">
        <w:rPr>
          <w:rFonts w:ascii="Verdana" w:hAnsi="Verdana"/>
          <w:lang w:val="en-US"/>
        </w:rPr>
        <w:br/>
      </w:r>
      <w:r w:rsidRPr="007501B6">
        <w:rPr>
          <w:rFonts w:ascii="Verdana" w:hAnsi="Verdana"/>
          <w:lang w:val="en-US"/>
        </w:rPr>
        <w:br/>
      </w:r>
      <w:r w:rsidRPr="007501B6">
        <w:rPr>
          <w:rFonts w:ascii="Verdana" w:hAnsi="Verdana"/>
          <w:b/>
          <w:lang w:val="en-US"/>
        </w:rPr>
        <w:t>Answer:</w:t>
      </w:r>
    </w:p>
    <w:p w:rsidR="00EB20CE" w:rsidRPr="007501B6" w:rsidRDefault="00105CB7" w:rsidP="003E2030">
      <w:pPr>
        <w:pBdr>
          <w:top w:val="single" w:sz="4" w:space="1" w:color="auto"/>
          <w:left w:val="single" w:sz="4" w:space="1" w:color="auto"/>
          <w:bottom w:val="single" w:sz="4" w:space="1" w:color="auto"/>
          <w:right w:val="single" w:sz="4" w:space="4" w:color="auto"/>
        </w:pBdr>
        <w:jc w:val="both"/>
        <w:rPr>
          <w:rFonts w:ascii="Verdana" w:hAnsi="Verdana"/>
          <w:lang w:val="en-US"/>
        </w:rPr>
      </w:pPr>
      <w:r w:rsidRPr="007501B6">
        <w:rPr>
          <w:rFonts w:ascii="Verdana" w:hAnsi="Verdana"/>
          <w:lang w:val="en-US"/>
        </w:rPr>
        <w:t xml:space="preserve">The amount of Surplus Funds is </w:t>
      </w:r>
      <w:r w:rsidR="00473618" w:rsidRPr="007501B6">
        <w:rPr>
          <w:rFonts w:ascii="Verdana" w:hAnsi="Verdana"/>
          <w:lang w:val="en-US"/>
        </w:rPr>
        <w:t xml:space="preserve">to be </w:t>
      </w:r>
      <w:r w:rsidRPr="007501B6">
        <w:rPr>
          <w:rFonts w:ascii="Verdana" w:hAnsi="Verdana"/>
          <w:lang w:val="en-US"/>
        </w:rPr>
        <w:t>included in S.29.01.R0210</w:t>
      </w:r>
      <w:r w:rsidR="00473618" w:rsidRPr="007501B6">
        <w:rPr>
          <w:rFonts w:ascii="Verdana" w:hAnsi="Verdana"/>
          <w:lang w:val="en-US"/>
        </w:rPr>
        <w:t xml:space="preserve"> as stated in the Instructions. </w:t>
      </w:r>
      <w:r w:rsidR="006D0E3D" w:rsidRPr="007501B6">
        <w:rPr>
          <w:rFonts w:ascii="Verdana" w:hAnsi="Verdana"/>
          <w:lang w:val="en-US"/>
        </w:rPr>
        <w:t>Additionally</w:t>
      </w:r>
      <w:r w:rsidR="00F22831">
        <w:rPr>
          <w:rFonts w:ascii="Verdana" w:hAnsi="Verdana"/>
          <w:lang w:val="en-US"/>
        </w:rPr>
        <w:t>,</w:t>
      </w:r>
      <w:r w:rsidR="00473618" w:rsidRPr="007501B6">
        <w:rPr>
          <w:rFonts w:ascii="Verdana" w:hAnsi="Verdana"/>
          <w:lang w:val="en-US"/>
        </w:rPr>
        <w:t xml:space="preserve"> a</w:t>
      </w:r>
      <w:r w:rsidRPr="007501B6">
        <w:rPr>
          <w:rFonts w:ascii="Verdana" w:hAnsi="Verdana"/>
          <w:lang w:val="en-US"/>
        </w:rPr>
        <w:t xml:space="preserve">s the amount of Surplus Funds may have different </w:t>
      </w:r>
      <w:r w:rsidR="00473618" w:rsidRPr="007501B6">
        <w:rPr>
          <w:rFonts w:ascii="Verdana" w:hAnsi="Verdana"/>
          <w:lang w:val="en-US"/>
        </w:rPr>
        <w:t xml:space="preserve">sources such as valuation of assets and technical provisions using Solvency II valuation, valuation of assets and technical provisions using financial statements, or projection of specific </w:t>
      </w:r>
      <w:r w:rsidR="006D0E3D" w:rsidRPr="007501B6">
        <w:rPr>
          <w:rFonts w:ascii="Verdana" w:hAnsi="Verdana"/>
          <w:lang w:val="en-US"/>
        </w:rPr>
        <w:t>cash flows</w:t>
      </w:r>
      <w:r w:rsidR="00473618" w:rsidRPr="007501B6">
        <w:rPr>
          <w:rFonts w:ascii="Verdana" w:hAnsi="Verdana"/>
          <w:lang w:val="en-US"/>
        </w:rPr>
        <w:t>, the corresponding adjustments should be done in S.29.01.R0250 if needed to avoid double count</w:t>
      </w:r>
      <w:r w:rsidRPr="007501B6">
        <w:rPr>
          <w:rFonts w:ascii="Verdana" w:hAnsi="Verdana"/>
          <w:lang w:val="en-US"/>
        </w:rPr>
        <w:t>.</w:t>
      </w:r>
    </w:p>
    <w:p w:rsidR="00BC73A8" w:rsidRPr="007501B6" w:rsidRDefault="008F4117" w:rsidP="003E2030">
      <w:pPr>
        <w:pBdr>
          <w:top w:val="single" w:sz="4" w:space="1" w:color="auto"/>
          <w:left w:val="single" w:sz="4" w:space="1" w:color="auto"/>
          <w:bottom w:val="single" w:sz="4" w:space="1" w:color="auto"/>
          <w:right w:val="single" w:sz="4" w:space="4" w:color="auto"/>
        </w:pBdr>
        <w:rPr>
          <w:rFonts w:ascii="Verdana" w:hAnsi="Verdana"/>
          <w:b/>
          <w:lang w:val="en-US"/>
        </w:rPr>
      </w:pPr>
      <w:r w:rsidRPr="007501B6">
        <w:rPr>
          <w:rFonts w:ascii="Verdana" w:hAnsi="Verdana"/>
          <w:b/>
          <w:lang w:val="en-US"/>
        </w:rPr>
        <w:t>Q</w:t>
      </w:r>
      <w:r w:rsidR="00BC73A8" w:rsidRPr="007501B6">
        <w:rPr>
          <w:rFonts w:ascii="Verdana" w:hAnsi="Verdana"/>
          <w:b/>
          <w:lang w:val="en-US"/>
        </w:rPr>
        <w:t>uestion</w:t>
      </w:r>
      <w:r w:rsidR="00843731" w:rsidRPr="007501B6">
        <w:rPr>
          <w:rFonts w:ascii="Verdana" w:hAnsi="Verdana"/>
          <w:b/>
          <w:lang w:val="en-US"/>
        </w:rPr>
        <w:t>:</w:t>
      </w:r>
      <w:r w:rsidR="00E62F66" w:rsidRPr="007501B6">
        <w:rPr>
          <w:rFonts w:ascii="Verdana" w:hAnsi="Verdana"/>
          <w:b/>
          <w:lang w:val="en-US"/>
        </w:rPr>
        <w:t xml:space="preserve"> </w:t>
      </w:r>
    </w:p>
    <w:p w:rsidR="00E62F66" w:rsidRPr="007501B6" w:rsidRDefault="00E62F66" w:rsidP="003E2030">
      <w:pPr>
        <w:pBdr>
          <w:top w:val="single" w:sz="4" w:space="1" w:color="auto"/>
          <w:left w:val="single" w:sz="4" w:space="1" w:color="auto"/>
          <w:bottom w:val="single" w:sz="4" w:space="1" w:color="auto"/>
          <w:right w:val="single" w:sz="4" w:space="4" w:color="auto"/>
        </w:pBdr>
        <w:jc w:val="both"/>
        <w:rPr>
          <w:rFonts w:ascii="Verdana" w:hAnsi="Verdana"/>
          <w:lang w:val="en-US"/>
        </w:rPr>
      </w:pPr>
      <w:r w:rsidRPr="007501B6">
        <w:rPr>
          <w:rFonts w:ascii="Verdana" w:hAnsi="Verdana"/>
          <w:lang w:val="en-US"/>
        </w:rPr>
        <w:t>The row C0030/R0140 presents movements in own shares while S</w:t>
      </w:r>
      <w:r w:rsidR="007B4299" w:rsidRPr="007501B6">
        <w:rPr>
          <w:rFonts w:ascii="Verdana" w:hAnsi="Verdana"/>
          <w:lang w:val="en-US"/>
        </w:rPr>
        <w:t>.</w:t>
      </w:r>
      <w:r w:rsidRPr="007501B6">
        <w:rPr>
          <w:rFonts w:ascii="Verdana" w:hAnsi="Verdana"/>
          <w:lang w:val="en-US"/>
        </w:rPr>
        <w:t>29.01</w:t>
      </w:r>
      <w:r w:rsidR="00BC73A8" w:rsidRPr="007501B6">
        <w:rPr>
          <w:rFonts w:ascii="Verdana" w:hAnsi="Verdana"/>
          <w:lang w:val="en-US"/>
        </w:rPr>
        <w:t>.C0030/R0190</w:t>
      </w:r>
      <w:r w:rsidRPr="007501B6">
        <w:rPr>
          <w:rFonts w:ascii="Verdana" w:hAnsi="Verdana"/>
          <w:lang w:val="en-US"/>
        </w:rPr>
        <w:t xml:space="preserve"> also includes this. Is this not a double counting?</w:t>
      </w:r>
    </w:p>
    <w:p w:rsidR="00BC73A8" w:rsidRPr="007501B6" w:rsidRDefault="00BC73A8" w:rsidP="003E2030">
      <w:pPr>
        <w:pBdr>
          <w:top w:val="single" w:sz="4" w:space="1" w:color="auto"/>
          <w:left w:val="single" w:sz="4" w:space="1" w:color="auto"/>
          <w:bottom w:val="single" w:sz="4" w:space="1" w:color="auto"/>
          <w:right w:val="single" w:sz="4" w:space="4" w:color="auto"/>
        </w:pBdr>
        <w:jc w:val="both"/>
        <w:rPr>
          <w:rFonts w:ascii="Verdana" w:hAnsi="Verdana"/>
          <w:b/>
          <w:lang w:val="en-US"/>
        </w:rPr>
      </w:pPr>
      <w:r w:rsidRPr="007501B6">
        <w:rPr>
          <w:rFonts w:ascii="Verdana" w:hAnsi="Verdana"/>
          <w:b/>
          <w:lang w:val="en-US"/>
        </w:rPr>
        <w:t>Answer:</w:t>
      </w:r>
    </w:p>
    <w:p w:rsidR="00BC73A8" w:rsidRPr="007501B6" w:rsidRDefault="00F22831" w:rsidP="003E2030">
      <w:pPr>
        <w:pBdr>
          <w:top w:val="single" w:sz="4" w:space="1" w:color="auto"/>
          <w:left w:val="single" w:sz="4" w:space="1" w:color="auto"/>
          <w:bottom w:val="single" w:sz="4" w:space="1" w:color="auto"/>
          <w:right w:val="single" w:sz="4" w:space="4" w:color="auto"/>
        </w:pBdr>
        <w:jc w:val="both"/>
        <w:rPr>
          <w:rFonts w:ascii="Verdana" w:hAnsi="Verdana"/>
          <w:lang w:val="en-US"/>
        </w:rPr>
      </w:pPr>
      <w:r>
        <w:rPr>
          <w:rFonts w:ascii="Verdana" w:hAnsi="Verdana"/>
          <w:lang w:val="en-US"/>
        </w:rPr>
        <w:t xml:space="preserve">The last two tables of the templates analyse the Excess of Assets over liabilities by its “nature” and by its “origin”. </w:t>
      </w:r>
      <w:r w:rsidR="001A690B" w:rsidRPr="007501B6">
        <w:rPr>
          <w:rFonts w:ascii="Verdana" w:hAnsi="Verdana"/>
          <w:lang w:val="en-US"/>
        </w:rPr>
        <w:t>T</w:t>
      </w:r>
      <w:r w:rsidR="00E62F66" w:rsidRPr="007501B6">
        <w:rPr>
          <w:rFonts w:ascii="Verdana" w:hAnsi="Verdana"/>
          <w:lang w:val="en-US"/>
        </w:rPr>
        <w:t xml:space="preserve">he variation of </w:t>
      </w:r>
      <w:r w:rsidR="0086495F">
        <w:rPr>
          <w:rFonts w:ascii="Verdana" w:hAnsi="Verdana"/>
          <w:lang w:val="en-US"/>
        </w:rPr>
        <w:t xml:space="preserve">the </w:t>
      </w:r>
      <w:r w:rsidR="00E62F66" w:rsidRPr="007501B6">
        <w:rPr>
          <w:rFonts w:ascii="Verdana" w:hAnsi="Verdana"/>
          <w:lang w:val="en-US"/>
        </w:rPr>
        <w:t xml:space="preserve">value of own shares is presented in R0140 in the </w:t>
      </w:r>
      <w:r w:rsidR="001A690B" w:rsidRPr="007501B6">
        <w:rPr>
          <w:rFonts w:ascii="Verdana" w:hAnsi="Verdana"/>
          <w:lang w:val="en-US"/>
        </w:rPr>
        <w:t>‘</w:t>
      </w:r>
      <w:r w:rsidR="00E62F66" w:rsidRPr="007501B6">
        <w:rPr>
          <w:rFonts w:ascii="Verdana" w:hAnsi="Verdana"/>
          <w:lang w:val="en-US"/>
        </w:rPr>
        <w:t>per nature</w:t>
      </w:r>
      <w:r w:rsidR="001A690B" w:rsidRPr="007501B6">
        <w:rPr>
          <w:rFonts w:ascii="Verdana" w:hAnsi="Verdana"/>
          <w:lang w:val="en-US"/>
        </w:rPr>
        <w:t>’</w:t>
      </w:r>
      <w:r w:rsidR="00E62F66" w:rsidRPr="007501B6">
        <w:rPr>
          <w:rFonts w:ascii="Verdana" w:hAnsi="Verdana"/>
          <w:lang w:val="en-US"/>
        </w:rPr>
        <w:t xml:space="preserve"> analysis</w:t>
      </w:r>
      <w:r w:rsidR="00BC698A">
        <w:rPr>
          <w:rFonts w:ascii="Verdana" w:hAnsi="Verdana"/>
          <w:lang w:val="en-US"/>
        </w:rPr>
        <w:t xml:space="preserve"> (second table, R0130 to R0180)</w:t>
      </w:r>
      <w:r w:rsidR="001A690B" w:rsidRPr="007501B6">
        <w:rPr>
          <w:rFonts w:ascii="Verdana" w:hAnsi="Verdana"/>
          <w:lang w:val="en-US"/>
        </w:rPr>
        <w:t xml:space="preserve">. In the </w:t>
      </w:r>
      <w:r>
        <w:rPr>
          <w:rFonts w:ascii="Verdana" w:hAnsi="Verdana"/>
          <w:lang w:val="en-US"/>
        </w:rPr>
        <w:t>third</w:t>
      </w:r>
      <w:r w:rsidRPr="007501B6">
        <w:rPr>
          <w:rFonts w:ascii="Verdana" w:hAnsi="Verdana"/>
          <w:lang w:val="en-US"/>
        </w:rPr>
        <w:t xml:space="preserve"> </w:t>
      </w:r>
      <w:r w:rsidR="001A690B" w:rsidRPr="007501B6">
        <w:rPr>
          <w:rFonts w:ascii="Verdana" w:hAnsi="Verdana"/>
          <w:lang w:val="en-US"/>
        </w:rPr>
        <w:t>table (‘per origin’</w:t>
      </w:r>
      <w:r w:rsidR="00BC698A">
        <w:rPr>
          <w:rFonts w:ascii="Verdana" w:hAnsi="Verdana"/>
          <w:lang w:val="en-US"/>
        </w:rPr>
        <w:t xml:space="preserve"> analysis</w:t>
      </w:r>
      <w:r w:rsidR="001A690B" w:rsidRPr="007501B6">
        <w:rPr>
          <w:rFonts w:ascii="Verdana" w:hAnsi="Verdana"/>
          <w:lang w:val="en-US"/>
        </w:rPr>
        <w:t>)</w:t>
      </w:r>
      <w:r w:rsidR="00E62F66" w:rsidRPr="007501B6">
        <w:rPr>
          <w:rFonts w:ascii="Verdana" w:hAnsi="Verdana"/>
          <w:lang w:val="en-US"/>
        </w:rPr>
        <w:t xml:space="preserve"> </w:t>
      </w:r>
      <w:r w:rsidR="001A690B" w:rsidRPr="007501B6">
        <w:rPr>
          <w:rFonts w:ascii="Verdana" w:hAnsi="Verdana"/>
          <w:lang w:val="en-US"/>
        </w:rPr>
        <w:t>the amounts of own shares are reported in R0210 but not in R0190</w:t>
      </w:r>
      <w:r w:rsidR="00E62F66" w:rsidRPr="007501B6">
        <w:rPr>
          <w:rFonts w:ascii="Verdana" w:hAnsi="Verdana"/>
          <w:lang w:val="en-US"/>
        </w:rPr>
        <w:t>.</w:t>
      </w:r>
      <w:r w:rsidR="001A690B" w:rsidRPr="007501B6">
        <w:rPr>
          <w:rFonts w:ascii="Verdana" w:hAnsi="Verdana"/>
          <w:lang w:val="en-US"/>
        </w:rPr>
        <w:t xml:space="preserve"> These two tables are independent and </w:t>
      </w:r>
      <w:r w:rsidR="0086495F">
        <w:rPr>
          <w:rFonts w:ascii="Verdana" w:hAnsi="Verdana"/>
          <w:lang w:val="en-US"/>
        </w:rPr>
        <w:t>therefore,</w:t>
      </w:r>
      <w:r w:rsidR="001A690B" w:rsidRPr="007501B6">
        <w:rPr>
          <w:rFonts w:ascii="Verdana" w:hAnsi="Verdana"/>
          <w:lang w:val="en-US"/>
        </w:rPr>
        <w:t xml:space="preserve"> double count is not applicable. </w:t>
      </w:r>
    </w:p>
    <w:p w:rsidR="00BC73A8" w:rsidRPr="007501B6" w:rsidRDefault="00BC73A8" w:rsidP="003E2030">
      <w:pPr>
        <w:pBdr>
          <w:top w:val="single" w:sz="4" w:space="1" w:color="auto"/>
          <w:left w:val="single" w:sz="4" w:space="1" w:color="auto"/>
          <w:bottom w:val="single" w:sz="4" w:space="1" w:color="auto"/>
          <w:right w:val="single" w:sz="4" w:space="4" w:color="auto"/>
        </w:pBdr>
        <w:jc w:val="both"/>
        <w:rPr>
          <w:rFonts w:ascii="Verdana" w:hAnsi="Verdana"/>
          <w:b/>
          <w:lang w:val="en-US"/>
        </w:rPr>
      </w:pPr>
      <w:r w:rsidRPr="007501B6">
        <w:rPr>
          <w:rFonts w:ascii="Verdana" w:hAnsi="Verdana"/>
          <w:b/>
          <w:lang w:val="en-US"/>
        </w:rPr>
        <w:t>Question:</w:t>
      </w:r>
    </w:p>
    <w:p w:rsidR="00F102AA" w:rsidRPr="007501B6" w:rsidRDefault="00F102AA" w:rsidP="003E2030">
      <w:pPr>
        <w:pBdr>
          <w:top w:val="single" w:sz="4" w:space="1" w:color="auto"/>
          <w:left w:val="single" w:sz="4" w:space="1" w:color="auto"/>
          <w:bottom w:val="single" w:sz="4" w:space="1" w:color="auto"/>
          <w:right w:val="single" w:sz="4" w:space="4" w:color="auto"/>
        </w:pBdr>
        <w:jc w:val="both"/>
        <w:rPr>
          <w:rFonts w:ascii="Verdana" w:hAnsi="Verdana"/>
          <w:lang w:val="en-US"/>
        </w:rPr>
      </w:pPr>
      <w:r w:rsidRPr="007501B6">
        <w:rPr>
          <w:rFonts w:ascii="Verdana" w:hAnsi="Verdana"/>
          <w:lang w:val="en-US"/>
        </w:rPr>
        <w:t>The template does not include “change in the perimeter”</w:t>
      </w:r>
      <w:r w:rsidR="00C36DF3">
        <w:rPr>
          <w:rFonts w:ascii="Verdana" w:hAnsi="Verdana"/>
          <w:lang w:val="en-US"/>
        </w:rPr>
        <w:t>?</w:t>
      </w:r>
      <w:r w:rsidRPr="007501B6">
        <w:rPr>
          <w:rFonts w:ascii="Verdana" w:hAnsi="Verdana"/>
          <w:lang w:val="en-US"/>
        </w:rPr>
        <w:t xml:space="preserve"> </w:t>
      </w:r>
    </w:p>
    <w:p w:rsidR="00BC73A8" w:rsidRPr="007501B6" w:rsidRDefault="00BC73A8" w:rsidP="003E2030">
      <w:pPr>
        <w:pBdr>
          <w:top w:val="single" w:sz="4" w:space="1" w:color="auto"/>
          <w:left w:val="single" w:sz="4" w:space="1" w:color="auto"/>
          <w:bottom w:val="single" w:sz="4" w:space="1" w:color="auto"/>
          <w:right w:val="single" w:sz="4" w:space="4" w:color="auto"/>
        </w:pBdr>
        <w:jc w:val="both"/>
        <w:rPr>
          <w:rFonts w:ascii="Verdana" w:hAnsi="Verdana"/>
          <w:b/>
          <w:lang w:val="en-US"/>
        </w:rPr>
      </w:pPr>
      <w:r w:rsidRPr="007501B6">
        <w:rPr>
          <w:rFonts w:ascii="Verdana" w:hAnsi="Verdana"/>
          <w:b/>
          <w:lang w:val="en-US"/>
        </w:rPr>
        <w:t>Answer:</w:t>
      </w:r>
    </w:p>
    <w:p w:rsidR="00A26170" w:rsidRPr="003C65DB" w:rsidRDefault="00BC73A8" w:rsidP="003E2030">
      <w:pPr>
        <w:pBdr>
          <w:top w:val="single" w:sz="4" w:space="1" w:color="auto"/>
          <w:left w:val="single" w:sz="4" w:space="1" w:color="auto"/>
          <w:bottom w:val="single" w:sz="4" w:space="1" w:color="auto"/>
          <w:right w:val="single" w:sz="4" w:space="4" w:color="auto"/>
        </w:pBdr>
        <w:jc w:val="both"/>
        <w:rPr>
          <w:rFonts w:ascii="Verdana" w:hAnsi="Verdana"/>
          <w:lang w:val="en-US"/>
        </w:rPr>
      </w:pPr>
      <w:r w:rsidRPr="007501B6">
        <w:rPr>
          <w:rFonts w:ascii="Verdana" w:hAnsi="Verdana"/>
          <w:lang w:val="en-US"/>
        </w:rPr>
        <w:t xml:space="preserve">Correct. The template </w:t>
      </w:r>
      <w:r w:rsidR="00FD11ED" w:rsidRPr="007501B6">
        <w:rPr>
          <w:rFonts w:ascii="Verdana" w:hAnsi="Verdana"/>
          <w:lang w:val="en-US"/>
        </w:rPr>
        <w:t>should</w:t>
      </w:r>
      <w:r w:rsidRPr="007501B6">
        <w:rPr>
          <w:rFonts w:ascii="Verdana" w:hAnsi="Verdana"/>
          <w:lang w:val="en-US"/>
        </w:rPr>
        <w:t xml:space="preserve"> </w:t>
      </w:r>
      <w:r w:rsidR="00FD11ED" w:rsidRPr="007501B6">
        <w:rPr>
          <w:rFonts w:ascii="Verdana" w:hAnsi="Verdana"/>
          <w:lang w:val="en-US"/>
        </w:rPr>
        <w:t>only</w:t>
      </w:r>
      <w:r w:rsidRPr="007501B6">
        <w:rPr>
          <w:rFonts w:ascii="Verdana" w:hAnsi="Verdana"/>
          <w:lang w:val="en-US"/>
        </w:rPr>
        <w:t xml:space="preserve"> refer to the variation in the value of the investments, </w:t>
      </w:r>
      <w:r w:rsidR="00BC698A">
        <w:rPr>
          <w:rFonts w:ascii="Verdana" w:hAnsi="Verdana"/>
          <w:lang w:val="en-US"/>
        </w:rPr>
        <w:t xml:space="preserve">whereas the </w:t>
      </w:r>
      <w:r w:rsidRPr="007501B6">
        <w:rPr>
          <w:rFonts w:ascii="Verdana" w:hAnsi="Verdana"/>
          <w:lang w:val="en-US"/>
        </w:rPr>
        <w:t xml:space="preserve"> acquisition of new </w:t>
      </w:r>
      <w:r w:rsidR="00EF08FD" w:rsidRPr="007501B6">
        <w:rPr>
          <w:rFonts w:ascii="Verdana" w:hAnsi="Verdana"/>
          <w:lang w:val="en-US"/>
        </w:rPr>
        <w:t>investments</w:t>
      </w:r>
      <w:r w:rsidRPr="007501B6">
        <w:rPr>
          <w:rFonts w:ascii="Verdana" w:hAnsi="Verdana"/>
          <w:lang w:val="en-US"/>
        </w:rPr>
        <w:t xml:space="preserve"> or </w:t>
      </w:r>
      <w:r w:rsidR="00386257" w:rsidRPr="007501B6">
        <w:rPr>
          <w:rFonts w:ascii="Verdana" w:hAnsi="Verdana"/>
          <w:lang w:val="en-US"/>
        </w:rPr>
        <w:t>maturing/</w:t>
      </w:r>
      <w:r w:rsidRPr="007501B6">
        <w:rPr>
          <w:rFonts w:ascii="Verdana" w:hAnsi="Verdana"/>
          <w:lang w:val="en-US"/>
        </w:rPr>
        <w:t>selling of investments</w:t>
      </w:r>
      <w:r w:rsidR="00BC698A">
        <w:rPr>
          <w:rFonts w:ascii="Verdana" w:hAnsi="Verdana"/>
          <w:lang w:val="en-US"/>
        </w:rPr>
        <w:t xml:space="preserve"> is not </w:t>
      </w:r>
      <w:r w:rsidR="00C36DF3">
        <w:rPr>
          <w:rFonts w:ascii="Verdana" w:hAnsi="Verdana"/>
          <w:lang w:val="en-US"/>
        </w:rPr>
        <w:t>captured</w:t>
      </w:r>
      <w:r w:rsidRPr="007501B6">
        <w:rPr>
          <w:rFonts w:ascii="Verdana" w:hAnsi="Verdana"/>
          <w:lang w:val="en-US"/>
        </w:rPr>
        <w:t xml:space="preserve">. This type of variation should be </w:t>
      </w:r>
      <w:r w:rsidR="00FD11ED" w:rsidRPr="007501B6">
        <w:rPr>
          <w:rFonts w:ascii="Verdana" w:hAnsi="Verdana"/>
          <w:lang w:val="en-US"/>
        </w:rPr>
        <w:t>capture</w:t>
      </w:r>
      <w:r w:rsidR="007B4299" w:rsidRPr="007501B6">
        <w:rPr>
          <w:rFonts w:ascii="Verdana" w:hAnsi="Verdana"/>
          <w:lang w:val="en-US"/>
        </w:rPr>
        <w:t>d</w:t>
      </w:r>
      <w:r w:rsidRPr="007501B6">
        <w:rPr>
          <w:rFonts w:ascii="Verdana" w:hAnsi="Verdana"/>
          <w:lang w:val="en-US"/>
        </w:rPr>
        <w:t xml:space="preserve"> by other templates linked to the activity that created a variation in the excess of assets </w:t>
      </w:r>
      <w:r w:rsidR="00BC698A">
        <w:rPr>
          <w:rFonts w:ascii="Verdana" w:hAnsi="Verdana"/>
          <w:lang w:val="en-US"/>
        </w:rPr>
        <w:t>over</w:t>
      </w:r>
      <w:r w:rsidR="00BC698A" w:rsidRPr="007501B6">
        <w:rPr>
          <w:rFonts w:ascii="Verdana" w:hAnsi="Verdana"/>
          <w:lang w:val="en-US"/>
        </w:rPr>
        <w:t xml:space="preserve"> </w:t>
      </w:r>
      <w:r w:rsidRPr="007501B6">
        <w:rPr>
          <w:rFonts w:ascii="Verdana" w:hAnsi="Verdana"/>
          <w:lang w:val="en-US"/>
        </w:rPr>
        <w:t xml:space="preserve">liabilities. </w:t>
      </w:r>
      <w:r w:rsidR="00F102AA" w:rsidRPr="007501B6">
        <w:rPr>
          <w:rFonts w:ascii="Verdana" w:hAnsi="Verdana"/>
          <w:lang w:val="en-US"/>
        </w:rPr>
        <w:t xml:space="preserve">For </w:t>
      </w:r>
      <w:r w:rsidRPr="007501B6">
        <w:rPr>
          <w:rFonts w:ascii="Verdana" w:hAnsi="Verdana"/>
          <w:lang w:val="en-US"/>
        </w:rPr>
        <w:t xml:space="preserve">example, </w:t>
      </w:r>
      <w:r w:rsidR="00CE51F8" w:rsidRPr="007501B6">
        <w:rPr>
          <w:rFonts w:ascii="Verdana" w:hAnsi="Verdana"/>
          <w:lang w:val="en-US"/>
        </w:rPr>
        <w:t xml:space="preserve">the impact of </w:t>
      </w:r>
      <w:r w:rsidR="00F102AA" w:rsidRPr="007501B6">
        <w:rPr>
          <w:rFonts w:ascii="Verdana" w:hAnsi="Verdana"/>
          <w:lang w:val="en-US"/>
        </w:rPr>
        <w:t>a change in perimeter due to the acquisition or cession of an insurance portfolio,</w:t>
      </w:r>
      <w:r w:rsidRPr="007501B6">
        <w:rPr>
          <w:rFonts w:ascii="Verdana" w:hAnsi="Verdana"/>
          <w:lang w:val="en-US"/>
        </w:rPr>
        <w:t xml:space="preserve"> or simple issue of new business, </w:t>
      </w:r>
      <w:r w:rsidR="00F102AA" w:rsidRPr="007501B6">
        <w:rPr>
          <w:rFonts w:ascii="Verdana" w:hAnsi="Verdana"/>
          <w:lang w:val="en-US"/>
        </w:rPr>
        <w:t>will be included in variations due to technical provisions. It will be embedded in the specific row of S.29.01 (R0200) and detailed in S.29.03</w:t>
      </w:r>
      <w:r w:rsidR="003B1B20" w:rsidRPr="007501B6">
        <w:rPr>
          <w:rFonts w:ascii="Verdana" w:hAnsi="Verdana"/>
          <w:lang w:val="en-US"/>
        </w:rPr>
        <w:t xml:space="preserve"> (net impact between variation of technical provisions and technical flows)</w:t>
      </w:r>
      <w:r w:rsidR="00F102AA" w:rsidRPr="007501B6">
        <w:rPr>
          <w:rFonts w:ascii="Verdana" w:hAnsi="Verdana"/>
          <w:lang w:val="en-US"/>
        </w:rPr>
        <w:t>.</w:t>
      </w:r>
    </w:p>
    <w:p w:rsidR="00EF08FD" w:rsidRPr="007501B6" w:rsidRDefault="00EF08FD" w:rsidP="00D00E8A">
      <w:pPr>
        <w:pBdr>
          <w:top w:val="single" w:sz="4" w:space="1" w:color="auto"/>
          <w:left w:val="single" w:sz="4" w:space="4" w:color="auto"/>
          <w:bottom w:val="single" w:sz="4" w:space="1" w:color="auto"/>
          <w:right w:val="single" w:sz="4" w:space="4" w:color="auto"/>
        </w:pBdr>
        <w:jc w:val="both"/>
        <w:rPr>
          <w:rFonts w:ascii="Verdana" w:hAnsi="Verdana"/>
          <w:b/>
          <w:lang w:val="en-US"/>
        </w:rPr>
      </w:pPr>
      <w:r w:rsidRPr="007501B6">
        <w:rPr>
          <w:rFonts w:ascii="Verdana" w:hAnsi="Verdana"/>
          <w:b/>
          <w:lang w:val="en-US"/>
        </w:rPr>
        <w:t>Question:</w:t>
      </w:r>
    </w:p>
    <w:p w:rsidR="00B14669" w:rsidRPr="007501B6" w:rsidRDefault="00B14669">
      <w:pPr>
        <w:pBdr>
          <w:top w:val="single" w:sz="4" w:space="1" w:color="auto"/>
          <w:left w:val="single" w:sz="4" w:space="4" w:color="auto"/>
          <w:bottom w:val="single" w:sz="4" w:space="1" w:color="auto"/>
          <w:right w:val="single" w:sz="4" w:space="4" w:color="auto"/>
        </w:pBdr>
        <w:rPr>
          <w:rFonts w:ascii="Verdana" w:hAnsi="Verdana"/>
          <w:lang w:val="en-US"/>
        </w:rPr>
      </w:pPr>
      <w:r w:rsidRPr="007501B6">
        <w:rPr>
          <w:rFonts w:ascii="Verdana" w:hAnsi="Verdana"/>
          <w:lang w:val="en-US"/>
        </w:rPr>
        <w:t xml:space="preserve">Should </w:t>
      </w:r>
      <w:r w:rsidR="00BC698A">
        <w:rPr>
          <w:rFonts w:ascii="Verdana" w:hAnsi="Verdana"/>
          <w:lang w:val="en-US"/>
        </w:rPr>
        <w:t>S.29.01</w:t>
      </w:r>
      <w:r w:rsidR="00623373">
        <w:rPr>
          <w:rFonts w:ascii="Verdana" w:hAnsi="Verdana"/>
          <w:lang w:val="en-US"/>
        </w:rPr>
        <w:t>.</w:t>
      </w:r>
      <w:r w:rsidRPr="007501B6">
        <w:rPr>
          <w:rFonts w:ascii="Verdana" w:hAnsi="Verdana"/>
          <w:lang w:val="en-US"/>
        </w:rPr>
        <w:t>R0200/C0030 be net of reinsurance recoverables?</w:t>
      </w:r>
    </w:p>
    <w:p w:rsidR="00EF08FD" w:rsidRPr="007501B6" w:rsidRDefault="00EF08FD">
      <w:pPr>
        <w:pBdr>
          <w:top w:val="single" w:sz="4" w:space="1" w:color="auto"/>
          <w:left w:val="single" w:sz="4" w:space="4" w:color="auto"/>
          <w:bottom w:val="single" w:sz="4" w:space="1" w:color="auto"/>
          <w:right w:val="single" w:sz="4" w:space="4" w:color="auto"/>
        </w:pBdr>
        <w:rPr>
          <w:rFonts w:ascii="Verdana" w:hAnsi="Verdana"/>
          <w:b/>
          <w:lang w:val="en-US"/>
        </w:rPr>
      </w:pPr>
      <w:r w:rsidRPr="007501B6">
        <w:rPr>
          <w:rFonts w:ascii="Verdana" w:hAnsi="Verdana"/>
          <w:b/>
          <w:lang w:val="en-US"/>
        </w:rPr>
        <w:t>Answer:</w:t>
      </w:r>
    </w:p>
    <w:p w:rsidR="00B14669" w:rsidRPr="007501B6" w:rsidRDefault="00B14669">
      <w:pPr>
        <w:pBdr>
          <w:top w:val="single" w:sz="4" w:space="1" w:color="auto"/>
          <w:left w:val="single" w:sz="4" w:space="4" w:color="auto"/>
          <w:bottom w:val="single" w:sz="4" w:space="1" w:color="auto"/>
          <w:right w:val="single" w:sz="4" w:space="4" w:color="auto"/>
        </w:pBdr>
        <w:rPr>
          <w:rFonts w:ascii="Verdana" w:hAnsi="Verdana"/>
          <w:lang w:val="en-US"/>
        </w:rPr>
      </w:pPr>
      <w:r w:rsidRPr="007501B6">
        <w:rPr>
          <w:rFonts w:ascii="Verdana" w:hAnsi="Verdana"/>
          <w:lang w:val="en-US"/>
        </w:rPr>
        <w:t xml:space="preserve">Yes. The amount reported should be net of reinsurance recoverables. </w:t>
      </w:r>
      <w:r w:rsidR="0086495F">
        <w:rPr>
          <w:rFonts w:ascii="Verdana" w:hAnsi="Verdana"/>
          <w:lang w:val="en-US"/>
        </w:rPr>
        <w:t>Please s</w:t>
      </w:r>
      <w:r w:rsidRPr="007501B6">
        <w:rPr>
          <w:rFonts w:ascii="Verdana" w:hAnsi="Verdana"/>
          <w:lang w:val="en-US"/>
        </w:rPr>
        <w:t xml:space="preserve">ee BV508 </w:t>
      </w:r>
      <w:r w:rsidR="00BC698A">
        <w:rPr>
          <w:rFonts w:ascii="Verdana" w:hAnsi="Verdana"/>
          <w:lang w:val="en-US"/>
        </w:rPr>
        <w:t>of</w:t>
      </w:r>
      <w:r w:rsidR="0086495F">
        <w:rPr>
          <w:rFonts w:ascii="Verdana" w:hAnsi="Verdana"/>
          <w:lang w:val="en-US"/>
        </w:rPr>
        <w:t xml:space="preserve"> the list of validations that validates </w:t>
      </w:r>
      <w:r w:rsidRPr="007501B6">
        <w:rPr>
          <w:rFonts w:ascii="Verdana" w:hAnsi="Verdana"/>
          <w:lang w:val="en-US"/>
        </w:rPr>
        <w:t xml:space="preserve"> this amount </w:t>
      </w:r>
      <w:r w:rsidR="00B24F9B">
        <w:rPr>
          <w:rFonts w:ascii="Verdana" w:hAnsi="Verdana"/>
          <w:lang w:val="en-US"/>
        </w:rPr>
        <w:t>against</w:t>
      </w:r>
      <w:r w:rsidR="0086495F" w:rsidRPr="007501B6">
        <w:rPr>
          <w:rFonts w:ascii="Verdana" w:hAnsi="Verdana"/>
          <w:lang w:val="en-US"/>
        </w:rPr>
        <w:t xml:space="preserve"> </w:t>
      </w:r>
      <w:r w:rsidRPr="007501B6">
        <w:rPr>
          <w:rFonts w:ascii="Verdana" w:hAnsi="Verdana"/>
          <w:lang w:val="en-US"/>
        </w:rPr>
        <w:t>amounts reported in S.29.03.</w:t>
      </w:r>
    </w:p>
    <w:p w:rsidR="00BB0CA0" w:rsidRPr="00AD13DA" w:rsidRDefault="003B0290">
      <w:pPr>
        <w:pBdr>
          <w:top w:val="single" w:sz="4" w:space="1" w:color="auto"/>
          <w:left w:val="single" w:sz="4" w:space="4" w:color="auto"/>
          <w:bottom w:val="single" w:sz="4" w:space="1" w:color="auto"/>
          <w:right w:val="single" w:sz="4" w:space="4" w:color="auto"/>
        </w:pBdr>
        <w:rPr>
          <w:rFonts w:ascii="Verdana" w:hAnsi="Verdana"/>
          <w:b/>
          <w:lang w:val="en-US"/>
        </w:rPr>
      </w:pPr>
      <w:r w:rsidRPr="005A4847">
        <w:rPr>
          <w:rFonts w:ascii="Verdana" w:hAnsi="Verdana"/>
          <w:b/>
          <w:lang w:val="en-US"/>
        </w:rPr>
        <w:t>Q&amp;A</w:t>
      </w:r>
      <w:r w:rsidR="00B56F8D">
        <w:rPr>
          <w:rFonts w:ascii="Verdana" w:hAnsi="Verdana"/>
          <w:b/>
          <w:lang w:val="en-US"/>
        </w:rPr>
        <w:t xml:space="preserve"> </w:t>
      </w:r>
      <w:r w:rsidRPr="005A4847">
        <w:rPr>
          <w:rFonts w:ascii="Verdana" w:hAnsi="Verdana"/>
          <w:b/>
          <w:lang w:val="en-US"/>
        </w:rPr>
        <w:t>1462</w:t>
      </w:r>
      <w:r w:rsidR="00BB0CA0" w:rsidRPr="00AD13DA">
        <w:rPr>
          <w:rFonts w:ascii="Verdana" w:hAnsi="Verdana"/>
          <w:b/>
          <w:lang w:val="en-US"/>
        </w:rPr>
        <w:t>:</w:t>
      </w:r>
    </w:p>
    <w:p w:rsidR="003B1B20" w:rsidRPr="00AD13DA" w:rsidRDefault="00BB0CA0" w:rsidP="005A4847">
      <w:pPr>
        <w:pBdr>
          <w:top w:val="single" w:sz="4" w:space="1" w:color="auto"/>
          <w:left w:val="single" w:sz="4" w:space="4" w:color="auto"/>
          <w:bottom w:val="single" w:sz="4" w:space="1" w:color="auto"/>
          <w:right w:val="single" w:sz="4" w:space="4" w:color="auto"/>
        </w:pBdr>
        <w:jc w:val="both"/>
        <w:rPr>
          <w:rFonts w:ascii="Verdana" w:hAnsi="Verdana"/>
        </w:rPr>
      </w:pPr>
      <w:r w:rsidRPr="00AD13DA">
        <w:rPr>
          <w:rFonts w:ascii="Verdana" w:hAnsi="Verdana"/>
        </w:rPr>
        <w:t>Would you confirm that for C0030/R0200 'Variations due to net technical provisions' and consequently for C0120/R0360-R0370 in S.29.03 we should make the theoritical assumption that the unit-linked assets fully 'neutralise' the unit-linked liabilities (which is not the case) and disclose "the net impact between Investments and Liabilities from unit-linked and index-linked business" under C0030/R0250 'Other variations in Excess of Assets over Liabilities'?</w:t>
      </w:r>
    </w:p>
    <w:p w:rsidR="00BB0CA0" w:rsidRPr="00AD13DA" w:rsidRDefault="00BB0CA0">
      <w:pPr>
        <w:pBdr>
          <w:top w:val="single" w:sz="4" w:space="1" w:color="auto"/>
          <w:left w:val="single" w:sz="4" w:space="4" w:color="auto"/>
          <w:bottom w:val="single" w:sz="4" w:space="1" w:color="auto"/>
          <w:right w:val="single" w:sz="4" w:space="4" w:color="auto"/>
        </w:pBdr>
        <w:jc w:val="both"/>
        <w:rPr>
          <w:rFonts w:ascii="Verdana" w:hAnsi="Verdana"/>
        </w:rPr>
      </w:pPr>
      <w:r w:rsidRPr="00AD13DA">
        <w:rPr>
          <w:rFonts w:ascii="Verdana" w:hAnsi="Verdana"/>
        </w:rPr>
        <w:t>As an additional question for C0030/R0250, could you please clarify why reinsurance related items are expected under 'Other variations' if C0030/R0200 'Variations due to net technical provisions' should be net of reinsurance, so including the reinsurance?</w:t>
      </w:r>
    </w:p>
    <w:p w:rsidR="00BB0CA0" w:rsidRPr="00C36DF3" w:rsidRDefault="00BB0CA0">
      <w:pPr>
        <w:pBdr>
          <w:top w:val="single" w:sz="4" w:space="1" w:color="auto"/>
          <w:left w:val="single" w:sz="4" w:space="4" w:color="auto"/>
          <w:bottom w:val="single" w:sz="4" w:space="1" w:color="auto"/>
          <w:right w:val="single" w:sz="4" w:space="4" w:color="auto"/>
        </w:pBdr>
        <w:rPr>
          <w:rFonts w:ascii="Verdana" w:hAnsi="Verdana"/>
          <w:b/>
        </w:rPr>
      </w:pPr>
      <w:r w:rsidRPr="00C36DF3">
        <w:rPr>
          <w:rFonts w:ascii="Verdana" w:hAnsi="Verdana"/>
          <w:b/>
        </w:rPr>
        <w:t>Answer:</w:t>
      </w:r>
    </w:p>
    <w:p w:rsidR="003B1B20" w:rsidRPr="005A4847" w:rsidRDefault="002A3D11" w:rsidP="00623373">
      <w:pPr>
        <w:pBdr>
          <w:top w:val="single" w:sz="4" w:space="1" w:color="auto"/>
          <w:left w:val="single" w:sz="4" w:space="4" w:color="auto"/>
          <w:bottom w:val="single" w:sz="4" w:space="1" w:color="auto"/>
          <w:right w:val="single" w:sz="4" w:space="4" w:color="auto"/>
        </w:pBdr>
        <w:jc w:val="both"/>
        <w:rPr>
          <w:rFonts w:ascii="Verdana" w:hAnsi="Verdana"/>
        </w:rPr>
      </w:pPr>
      <w:r>
        <w:rPr>
          <w:rFonts w:ascii="Verdana" w:hAnsi="Verdana"/>
        </w:rPr>
        <w:t>I</w:t>
      </w:r>
      <w:r w:rsidRPr="00BA2A0B">
        <w:rPr>
          <w:rFonts w:ascii="Verdana" w:hAnsi="Verdana"/>
          <w:lang w:val="en-US"/>
        </w:rPr>
        <w:t xml:space="preserve">ndex-linked </w:t>
      </w:r>
      <w:r>
        <w:rPr>
          <w:rFonts w:ascii="Verdana" w:hAnsi="Verdana"/>
          <w:lang w:val="en-US"/>
        </w:rPr>
        <w:t xml:space="preserve">and unit-linked </w:t>
      </w:r>
      <w:r w:rsidR="008E6FD7">
        <w:rPr>
          <w:rFonts w:ascii="Verdana" w:hAnsi="Verdana"/>
        </w:rPr>
        <w:t>business</w:t>
      </w:r>
      <w:r w:rsidR="003B1B20" w:rsidRPr="00BE5564">
        <w:rPr>
          <w:rFonts w:ascii="Verdana" w:hAnsi="Verdana"/>
        </w:rPr>
        <w:t xml:space="preserve"> should be</w:t>
      </w:r>
      <w:r w:rsidR="003B1B20" w:rsidRPr="00D97DB3">
        <w:rPr>
          <w:rFonts w:ascii="Verdana" w:hAnsi="Verdana"/>
        </w:rPr>
        <w:t xml:space="preserve"> </w:t>
      </w:r>
      <w:r w:rsidR="008E6FD7">
        <w:rPr>
          <w:rFonts w:ascii="Verdana" w:hAnsi="Verdana"/>
        </w:rPr>
        <w:t>inclu</w:t>
      </w:r>
      <w:r w:rsidR="00C36DF3">
        <w:rPr>
          <w:rFonts w:ascii="Verdana" w:hAnsi="Verdana"/>
        </w:rPr>
        <w:t>ded</w:t>
      </w:r>
      <w:r w:rsidR="003B1B20" w:rsidRPr="00D97DB3">
        <w:rPr>
          <w:rFonts w:ascii="Verdana" w:hAnsi="Verdana"/>
        </w:rPr>
        <w:t xml:space="preserve"> </w:t>
      </w:r>
      <w:r w:rsidR="008E6FD7">
        <w:rPr>
          <w:rFonts w:ascii="Verdana" w:hAnsi="Verdana"/>
          <w:lang w:val="en-GB"/>
        </w:rPr>
        <w:t xml:space="preserve">in </w:t>
      </w:r>
      <w:r w:rsidR="00C36DF3">
        <w:rPr>
          <w:rFonts w:ascii="Verdana" w:hAnsi="Verdana"/>
          <w:lang w:val="en-GB"/>
        </w:rPr>
        <w:t xml:space="preserve">the </w:t>
      </w:r>
      <w:r w:rsidR="003B1B20" w:rsidRPr="00C36DF3">
        <w:rPr>
          <w:rFonts w:ascii="Verdana" w:hAnsi="Verdana"/>
        </w:rPr>
        <w:t>analysi</w:t>
      </w:r>
      <w:r w:rsidR="00C36DF3">
        <w:rPr>
          <w:rFonts w:ascii="Verdana" w:hAnsi="Verdana"/>
        </w:rPr>
        <w:t>s</w:t>
      </w:r>
      <w:r w:rsidR="00220B23" w:rsidRPr="005A4847">
        <w:rPr>
          <w:rFonts w:ascii="Verdana" w:hAnsi="Verdana"/>
        </w:rPr>
        <w:t xml:space="preserve"> </w:t>
      </w:r>
      <w:r w:rsidR="00220B23">
        <w:rPr>
          <w:rFonts w:ascii="Verdana" w:hAnsi="Verdana"/>
        </w:rPr>
        <w:t>performed in S.29.01 to S.29.04</w:t>
      </w:r>
      <w:r w:rsidR="003B1B20" w:rsidRPr="00C36DF3">
        <w:rPr>
          <w:rFonts w:ascii="Verdana" w:hAnsi="Verdana"/>
        </w:rPr>
        <w:t xml:space="preserve">. This means that </w:t>
      </w:r>
      <w:r w:rsidRPr="00BA2A0B">
        <w:rPr>
          <w:rFonts w:ascii="Verdana" w:hAnsi="Verdana"/>
          <w:lang w:val="en-US"/>
        </w:rPr>
        <w:t xml:space="preserve">index-linked </w:t>
      </w:r>
      <w:r>
        <w:rPr>
          <w:rFonts w:ascii="Verdana" w:hAnsi="Verdana"/>
          <w:lang w:val="en-US"/>
        </w:rPr>
        <w:t xml:space="preserve">and unit-linked </w:t>
      </w:r>
      <w:r w:rsidR="003B1B20" w:rsidRPr="00C36DF3">
        <w:rPr>
          <w:rFonts w:ascii="Verdana" w:hAnsi="Verdana"/>
        </w:rPr>
        <w:t>business should be included in S.29.02 and reflected in S.29.01.R0190</w:t>
      </w:r>
      <w:r w:rsidR="00C36DF3">
        <w:rPr>
          <w:rFonts w:ascii="Verdana" w:hAnsi="Verdana"/>
        </w:rPr>
        <w:t>;</w:t>
      </w:r>
      <w:r w:rsidR="003B1B20" w:rsidRPr="00C36DF3">
        <w:rPr>
          <w:rFonts w:ascii="Verdana" w:hAnsi="Verdana"/>
        </w:rPr>
        <w:t xml:space="preserve"> </w:t>
      </w:r>
      <w:r w:rsidR="00220B23">
        <w:rPr>
          <w:rFonts w:ascii="Verdana" w:hAnsi="Verdana"/>
        </w:rPr>
        <w:t xml:space="preserve">it </w:t>
      </w:r>
      <w:r w:rsidR="003B1B20" w:rsidRPr="00C36DF3">
        <w:rPr>
          <w:rFonts w:ascii="Verdana" w:hAnsi="Verdana"/>
        </w:rPr>
        <w:t>should be included in S.29.03 main tables and reflected in S.29.01.R0200</w:t>
      </w:r>
      <w:r w:rsidR="00C36DF3">
        <w:rPr>
          <w:rFonts w:ascii="Verdana" w:hAnsi="Verdana"/>
        </w:rPr>
        <w:t xml:space="preserve"> </w:t>
      </w:r>
      <w:r w:rsidR="00722C63">
        <w:rPr>
          <w:rFonts w:ascii="Verdana" w:hAnsi="Verdana"/>
        </w:rPr>
        <w:t>and in S.09.04 as well</w:t>
      </w:r>
      <w:r w:rsidR="003B1B20" w:rsidRPr="00C36DF3">
        <w:rPr>
          <w:rFonts w:ascii="Verdana" w:hAnsi="Verdana"/>
        </w:rPr>
        <w:t xml:space="preserve">. </w:t>
      </w:r>
      <w:r w:rsidR="003B1B20" w:rsidRPr="00623373">
        <w:rPr>
          <w:rFonts w:ascii="Verdana" w:hAnsi="Verdana"/>
        </w:rPr>
        <w:t xml:space="preserve">In addition specific </w:t>
      </w:r>
      <w:r w:rsidRPr="00BA2A0B">
        <w:rPr>
          <w:rFonts w:ascii="Verdana" w:hAnsi="Verdana"/>
          <w:lang w:val="en-US"/>
        </w:rPr>
        <w:t xml:space="preserve">index-linked </w:t>
      </w:r>
      <w:r>
        <w:rPr>
          <w:rFonts w:ascii="Verdana" w:hAnsi="Verdana"/>
          <w:lang w:val="en-US"/>
        </w:rPr>
        <w:t xml:space="preserve">and unit-linked </w:t>
      </w:r>
      <w:r w:rsidR="003B1B20" w:rsidRPr="00623373">
        <w:rPr>
          <w:rFonts w:ascii="Verdana" w:hAnsi="Verdana"/>
        </w:rPr>
        <w:t xml:space="preserve">information is requested in S.29.03.R0300 for information. This cell should reflect the net impact of the amount of assets held by </w:t>
      </w:r>
      <w:r w:rsidRPr="00BA2A0B">
        <w:rPr>
          <w:rFonts w:ascii="Verdana" w:hAnsi="Verdana"/>
          <w:lang w:val="en-US"/>
        </w:rPr>
        <w:t xml:space="preserve">index-linked </w:t>
      </w:r>
      <w:r>
        <w:rPr>
          <w:rFonts w:ascii="Verdana" w:hAnsi="Verdana"/>
          <w:lang w:val="en-US"/>
        </w:rPr>
        <w:t xml:space="preserve">and unit-linked </w:t>
      </w:r>
      <w:r w:rsidR="003B1B20" w:rsidRPr="00623373">
        <w:rPr>
          <w:rFonts w:ascii="Verdana" w:hAnsi="Verdana"/>
        </w:rPr>
        <w:t xml:space="preserve">business and of </w:t>
      </w:r>
      <w:r w:rsidR="00220B23">
        <w:rPr>
          <w:rFonts w:ascii="Verdana" w:hAnsi="Verdana"/>
        </w:rPr>
        <w:t>t</w:t>
      </w:r>
      <w:r w:rsidR="003B1B20" w:rsidRPr="00623373">
        <w:rPr>
          <w:rFonts w:ascii="Verdana" w:hAnsi="Verdana"/>
        </w:rPr>
        <w:t>echnical provisions – index-linked and unit-linked</w:t>
      </w:r>
      <w:r w:rsidR="00E17B71">
        <w:rPr>
          <w:rFonts w:ascii="Verdana" w:hAnsi="Verdana"/>
          <w:lang w:val="en-US"/>
        </w:rPr>
        <w:t xml:space="preserve">, </w:t>
      </w:r>
      <w:r w:rsidR="00E17B71" w:rsidRPr="00BB09C7">
        <w:rPr>
          <w:rFonts w:ascii="Verdana" w:hAnsi="Verdana"/>
          <w:color w:val="FF0000"/>
          <w:lang w:val="en-US"/>
        </w:rPr>
        <w:t>including the technical flows, should be reported for information. A positive impact in variation of EoAoL should be reported positive</w:t>
      </w:r>
      <w:r w:rsidR="003B1B20" w:rsidRPr="00623373">
        <w:rPr>
          <w:rFonts w:ascii="Verdana" w:hAnsi="Verdana"/>
        </w:rPr>
        <w:t xml:space="preserve">. This amount is requested for information exactly because there is no assumption that the </w:t>
      </w:r>
      <w:r w:rsidRPr="00BA2A0B">
        <w:rPr>
          <w:rFonts w:ascii="Verdana" w:hAnsi="Verdana"/>
          <w:lang w:val="en-US"/>
        </w:rPr>
        <w:t xml:space="preserve">index-linked </w:t>
      </w:r>
      <w:r>
        <w:rPr>
          <w:rFonts w:ascii="Verdana" w:hAnsi="Verdana"/>
          <w:lang w:val="en-US"/>
        </w:rPr>
        <w:t xml:space="preserve">and unit-linked </w:t>
      </w:r>
      <w:r w:rsidR="003B1B20" w:rsidRPr="00623373">
        <w:rPr>
          <w:rFonts w:ascii="Verdana" w:hAnsi="Verdana"/>
        </w:rPr>
        <w:t xml:space="preserve">assets fully 'neutralise' the </w:t>
      </w:r>
      <w:r w:rsidRPr="00BA2A0B">
        <w:rPr>
          <w:rFonts w:ascii="Verdana" w:hAnsi="Verdana"/>
          <w:lang w:val="en-US"/>
        </w:rPr>
        <w:t xml:space="preserve">index-linked </w:t>
      </w:r>
      <w:r>
        <w:rPr>
          <w:rFonts w:ascii="Verdana" w:hAnsi="Verdana"/>
          <w:lang w:val="en-US"/>
        </w:rPr>
        <w:t xml:space="preserve">and unit-linked </w:t>
      </w:r>
      <w:r w:rsidR="003B1B20" w:rsidRPr="00623373">
        <w:rPr>
          <w:rFonts w:ascii="Verdana" w:hAnsi="Verdana"/>
        </w:rPr>
        <w:t>liabilities.</w:t>
      </w:r>
    </w:p>
    <w:p w:rsidR="003B1B20" w:rsidRPr="005A4847" w:rsidRDefault="003B1B20" w:rsidP="00623373">
      <w:pPr>
        <w:pBdr>
          <w:top w:val="single" w:sz="4" w:space="1" w:color="auto"/>
          <w:left w:val="single" w:sz="4" w:space="4" w:color="auto"/>
          <w:bottom w:val="single" w:sz="4" w:space="1" w:color="auto"/>
          <w:right w:val="single" w:sz="4" w:space="4" w:color="auto"/>
        </w:pBdr>
        <w:jc w:val="both"/>
        <w:rPr>
          <w:rFonts w:ascii="Verdana" w:hAnsi="Verdana"/>
        </w:rPr>
      </w:pPr>
      <w:r w:rsidRPr="00BE5564">
        <w:rPr>
          <w:rFonts w:ascii="Verdana" w:hAnsi="Verdana"/>
        </w:rPr>
        <w:t xml:space="preserve">Regarding the inclusion of reinsurance in S.29.01.R0250 </w:t>
      </w:r>
      <w:r w:rsidR="00AB3F0D" w:rsidRPr="00BE5564">
        <w:rPr>
          <w:rFonts w:ascii="Verdana" w:hAnsi="Verdana"/>
        </w:rPr>
        <w:t>your observation is totally correct, reinsurance recoverables should not be reported in S.29.01.R0250</w:t>
      </w:r>
      <w:r w:rsidR="00C36DF3">
        <w:rPr>
          <w:rFonts w:ascii="Verdana" w:hAnsi="Verdana"/>
        </w:rPr>
        <w:t xml:space="preserve">. However please note that </w:t>
      </w:r>
      <w:r w:rsidR="00220B23">
        <w:rPr>
          <w:rFonts w:ascii="Verdana" w:hAnsi="Verdana"/>
        </w:rPr>
        <w:t>reinsurance receivables should be reported in S.29.01.R0250</w:t>
      </w:r>
      <w:r w:rsidR="00AB3F0D" w:rsidRPr="00BE5564">
        <w:rPr>
          <w:rFonts w:ascii="Verdana" w:hAnsi="Verdana"/>
        </w:rPr>
        <w:t xml:space="preserve">. </w:t>
      </w:r>
    </w:p>
    <w:p w:rsidR="00BB0CA0" w:rsidRPr="00BE5564" w:rsidRDefault="007150ED">
      <w:pPr>
        <w:pBdr>
          <w:top w:val="single" w:sz="4" w:space="1" w:color="auto"/>
          <w:left w:val="single" w:sz="4" w:space="4" w:color="auto"/>
          <w:bottom w:val="single" w:sz="4" w:space="1" w:color="auto"/>
          <w:right w:val="single" w:sz="4" w:space="4" w:color="auto"/>
        </w:pBdr>
        <w:rPr>
          <w:rFonts w:ascii="Verdana" w:hAnsi="Verdana"/>
          <w:b/>
          <w:lang w:val="en-US"/>
        </w:rPr>
      </w:pPr>
      <w:r w:rsidRPr="00BE5564">
        <w:rPr>
          <w:rFonts w:ascii="Verdana" w:hAnsi="Verdana"/>
          <w:b/>
          <w:lang w:val="en-US"/>
        </w:rPr>
        <w:t>Q&amp;A</w:t>
      </w:r>
      <w:r w:rsidR="00B56F8D">
        <w:rPr>
          <w:rFonts w:ascii="Verdana" w:hAnsi="Verdana"/>
          <w:b/>
          <w:lang w:val="en-US"/>
        </w:rPr>
        <w:t xml:space="preserve"> </w:t>
      </w:r>
      <w:r w:rsidRPr="00BE5564">
        <w:rPr>
          <w:rFonts w:ascii="Verdana" w:hAnsi="Verdana"/>
          <w:b/>
          <w:lang w:val="en-US"/>
        </w:rPr>
        <w:t>1487</w:t>
      </w:r>
      <w:r w:rsidR="00BB0CA0" w:rsidRPr="00BE5564">
        <w:rPr>
          <w:rFonts w:ascii="Verdana" w:hAnsi="Verdana"/>
          <w:b/>
          <w:lang w:val="en-US"/>
        </w:rPr>
        <w:t>:</w:t>
      </w:r>
    </w:p>
    <w:p w:rsidR="0076240A" w:rsidRPr="00BE5564" w:rsidRDefault="00BB0CA0" w:rsidP="005A4847">
      <w:pPr>
        <w:pBdr>
          <w:top w:val="single" w:sz="4" w:space="1" w:color="auto"/>
          <w:left w:val="single" w:sz="4" w:space="4" w:color="auto"/>
          <w:bottom w:val="single" w:sz="4" w:space="1" w:color="auto"/>
          <w:right w:val="single" w:sz="4" w:space="4" w:color="auto"/>
        </w:pBdr>
        <w:jc w:val="both"/>
        <w:rPr>
          <w:rFonts w:ascii="Verdana" w:hAnsi="Verdana"/>
        </w:rPr>
      </w:pPr>
      <w:r w:rsidRPr="00BE5564">
        <w:rPr>
          <w:rFonts w:ascii="Verdana" w:hAnsi="Verdana"/>
        </w:rPr>
        <w:t>I see the reply on Nov. We referred to Explanatory Notes on Variation Analysis Template before and could not get the reasonableness of the overall treatment on UL line of business in S.29s. Please allow us to be more specific with the issue.</w:t>
      </w:r>
    </w:p>
    <w:p w:rsidR="0076240A" w:rsidRPr="00BE5564" w:rsidRDefault="00BB0CA0" w:rsidP="00C36DF3">
      <w:pPr>
        <w:pBdr>
          <w:top w:val="single" w:sz="4" w:space="1" w:color="auto"/>
          <w:left w:val="single" w:sz="4" w:space="4" w:color="auto"/>
          <w:bottom w:val="single" w:sz="4" w:space="1" w:color="auto"/>
          <w:right w:val="single" w:sz="4" w:space="4" w:color="auto"/>
        </w:pBdr>
        <w:ind w:left="284" w:hanging="284"/>
        <w:jc w:val="both"/>
        <w:rPr>
          <w:rFonts w:ascii="Verdana" w:hAnsi="Verdana"/>
        </w:rPr>
      </w:pPr>
      <w:r w:rsidRPr="00BE5564">
        <w:rPr>
          <w:rFonts w:ascii="Verdana" w:hAnsi="Verdana"/>
        </w:rPr>
        <w:t xml:space="preserve"> </w:t>
      </w:r>
      <w:r w:rsidR="0076240A" w:rsidRPr="00BE5564">
        <w:rPr>
          <w:rFonts w:ascii="Verdana" w:hAnsi="Verdana"/>
        </w:rPr>
        <w:t xml:space="preserve">-  </w:t>
      </w:r>
      <w:r w:rsidRPr="00BE5564">
        <w:rPr>
          <w:rFonts w:ascii="Verdana" w:hAnsi="Verdana"/>
        </w:rPr>
        <w:t>First, all the case examples in the Explanation paper are for NL business. We don't see a single one capturing UL line of business with an overall picture: S.29.01.R0250, S.29.03 R0300/C0090,</w:t>
      </w:r>
      <w:r w:rsidR="0076240A" w:rsidRPr="00BE5564">
        <w:rPr>
          <w:rFonts w:ascii="Verdana" w:hAnsi="Verdana"/>
        </w:rPr>
        <w:t xml:space="preserve"> </w:t>
      </w:r>
      <w:r w:rsidRPr="00BE5564">
        <w:rPr>
          <w:rFonts w:ascii="Verdana" w:hAnsi="Verdana"/>
        </w:rPr>
        <w:t>and S.29.04</w:t>
      </w:r>
      <w:r w:rsidR="0076240A" w:rsidRPr="00BE5564">
        <w:rPr>
          <w:rFonts w:ascii="Verdana" w:hAnsi="Verdana"/>
        </w:rPr>
        <w:t>.</w:t>
      </w:r>
      <w:r w:rsidRPr="00BE5564">
        <w:rPr>
          <w:rFonts w:ascii="Verdana" w:hAnsi="Verdana"/>
        </w:rPr>
        <w:t>R0070/C0010.</w:t>
      </w:r>
    </w:p>
    <w:p w:rsidR="0076240A" w:rsidRPr="00BE5564" w:rsidRDefault="0076240A" w:rsidP="00C36DF3">
      <w:pPr>
        <w:pBdr>
          <w:top w:val="single" w:sz="4" w:space="1" w:color="auto"/>
          <w:left w:val="single" w:sz="4" w:space="4" w:color="auto"/>
          <w:bottom w:val="single" w:sz="4" w:space="1" w:color="auto"/>
          <w:right w:val="single" w:sz="4" w:space="4" w:color="auto"/>
        </w:pBdr>
        <w:ind w:left="284" w:hanging="284"/>
        <w:jc w:val="both"/>
        <w:rPr>
          <w:rFonts w:ascii="Verdana" w:hAnsi="Verdana"/>
        </w:rPr>
      </w:pPr>
      <w:r w:rsidRPr="00BE5564">
        <w:rPr>
          <w:rFonts w:ascii="Verdana" w:hAnsi="Verdana"/>
        </w:rPr>
        <w:t xml:space="preserve">-   </w:t>
      </w:r>
      <w:r w:rsidR="00BB0CA0" w:rsidRPr="00BE5564">
        <w:rPr>
          <w:rFonts w:ascii="Verdana" w:hAnsi="Verdana"/>
        </w:rPr>
        <w:t>Second, to follow "In R0360/C0120-C0130 the BE, RM and TP as whole are considered but the amount is then ‘neutralised’ by the deduction of the amount reported in R0300/C0090 reflecting the variation in the balance-sheet of the Investment held by unit-linked business." on page 18 of Explanatory notes, we think S.29.03 R0300/C0090 should be: -deltaBEL+delta UL+cfs</w:t>
      </w:r>
      <w:r w:rsidRPr="00BE5564">
        <w:rPr>
          <w:rFonts w:ascii="Verdana" w:hAnsi="Verdana"/>
        </w:rPr>
        <w:t xml:space="preserve">. </w:t>
      </w:r>
      <w:r w:rsidR="00BB0CA0" w:rsidRPr="00BE5564">
        <w:rPr>
          <w:rFonts w:ascii="Verdana" w:hAnsi="Verdana"/>
        </w:rPr>
        <w:t xml:space="preserve">However, to follow "- the variation in BE... and variation of TP calculated as a whole (between end of previous year and the reporting year); </w:t>
      </w:r>
      <w:r w:rsidR="00BB0CA0" w:rsidRPr="00BE5564">
        <w:rPr>
          <w:rFonts w:ascii="Verdana" w:hAnsi="Verdana"/>
        </w:rPr>
        <w:br/>
        <w:t>- minus the variation in unit-linked (C0090 / R0300);</w:t>
      </w:r>
      <w:r w:rsidR="00BB0CA0" w:rsidRPr="00BE5564">
        <w:rPr>
          <w:rFonts w:ascii="Verdana" w:hAnsi="Verdana"/>
        </w:rPr>
        <w:br/>
        <w:t>- plus total amount of net technical flows, i.e.: inflows minus outflows (C0100/R0340 for Life and C0110/R0340 for Non-Life)." on page 14, section 1.35 of Explanatory notes, the signs of delta UL and technical flows should be opposite, which is contradictory from the formula above: -deltaBEL+delta UL+cfs</w:t>
      </w:r>
    </w:p>
    <w:p w:rsidR="0076240A" w:rsidRPr="00BE5564" w:rsidRDefault="0076240A" w:rsidP="00C36DF3">
      <w:pPr>
        <w:pBdr>
          <w:top w:val="single" w:sz="4" w:space="1" w:color="auto"/>
          <w:left w:val="single" w:sz="4" w:space="4" w:color="auto"/>
          <w:bottom w:val="single" w:sz="4" w:space="1" w:color="auto"/>
          <w:right w:val="single" w:sz="4" w:space="4" w:color="auto"/>
        </w:pBdr>
        <w:ind w:left="284" w:hanging="284"/>
        <w:jc w:val="both"/>
        <w:rPr>
          <w:rFonts w:ascii="Verdana" w:hAnsi="Verdana"/>
        </w:rPr>
      </w:pPr>
      <w:r w:rsidRPr="00BE5564">
        <w:rPr>
          <w:rFonts w:ascii="Verdana" w:hAnsi="Verdana"/>
        </w:rPr>
        <w:t xml:space="preserve">-  </w:t>
      </w:r>
      <w:r w:rsidR="00BB0CA0" w:rsidRPr="00BE5564">
        <w:rPr>
          <w:rFonts w:ascii="Verdana" w:hAnsi="Verdana"/>
        </w:rPr>
        <w:t>Third, if S.29.01 R0250 already captures asset and liabilities in UL fund and which is close to each other. And in S.29.03 R0300/C0090: -deltaBEL+delta UL+cfs, where we see first two items might cancel on a large level each other. Then looking at the overall picture by adding S.29.01 R0250, R0200, for UL line of business, by large we will always get:UL asset-UL liability+cfs. We could not interpret the meaning of this and purpose of having that.</w:t>
      </w:r>
    </w:p>
    <w:p w:rsidR="00BB0CA0" w:rsidRPr="00BE5564" w:rsidRDefault="0076240A" w:rsidP="00C36DF3">
      <w:pPr>
        <w:pBdr>
          <w:top w:val="single" w:sz="4" w:space="1" w:color="auto"/>
          <w:left w:val="single" w:sz="4" w:space="4" w:color="auto"/>
          <w:bottom w:val="single" w:sz="4" w:space="1" w:color="auto"/>
          <w:right w:val="single" w:sz="4" w:space="4" w:color="auto"/>
        </w:pBdr>
        <w:ind w:left="284" w:hanging="284"/>
        <w:jc w:val="both"/>
        <w:rPr>
          <w:rFonts w:ascii="Verdana" w:hAnsi="Verdana"/>
        </w:rPr>
      </w:pPr>
      <w:r w:rsidRPr="00BE5564">
        <w:rPr>
          <w:rFonts w:ascii="Verdana" w:hAnsi="Verdana"/>
        </w:rPr>
        <w:t xml:space="preserve">-  </w:t>
      </w:r>
      <w:r w:rsidR="00BB0CA0" w:rsidRPr="00BE5564">
        <w:rPr>
          <w:rFonts w:ascii="Verdana" w:hAnsi="Verdana"/>
        </w:rPr>
        <w:t>Fourth, in S.29.01, whether UL asset and UL liability as a total need to be captured, or the changes in these two items need to be captured?</w:t>
      </w:r>
      <w:r w:rsidR="00BB0CA0" w:rsidRPr="00BE5564">
        <w:rPr>
          <w:rFonts w:ascii="Verdana" w:hAnsi="Verdana"/>
        </w:rPr>
        <w:br/>
        <w:t>So a) Please provide specific formulas on S.29s with an UL example in places S.29.01.01 R0250, S.29.03 R0300/C0090, and S.29.04 R0070/C0010, and explain the reasonableness of what in the end S.29s could capture. b) CFs for UL are gross premiums, gross claims, expenses, or just UL fees, expenses, and claims exceeding UL fund? c) If S.29.01 R0250 could already capture the own fund movement due to UL LOB, then why should be bother providing more data items relating to UL LOB in S.29s?</w:t>
      </w:r>
    </w:p>
    <w:p w:rsidR="00BB0CA0" w:rsidRPr="00BE5564" w:rsidRDefault="00BB0CA0">
      <w:pPr>
        <w:pBdr>
          <w:top w:val="single" w:sz="4" w:space="1" w:color="auto"/>
          <w:left w:val="single" w:sz="4" w:space="4" w:color="auto"/>
          <w:bottom w:val="single" w:sz="4" w:space="1" w:color="auto"/>
          <w:right w:val="single" w:sz="4" w:space="4" w:color="auto"/>
        </w:pBdr>
        <w:rPr>
          <w:rFonts w:ascii="Verdana" w:hAnsi="Verdana"/>
          <w:b/>
        </w:rPr>
      </w:pPr>
      <w:r w:rsidRPr="00BE5564">
        <w:rPr>
          <w:rFonts w:ascii="Verdana" w:hAnsi="Verdana"/>
          <w:b/>
        </w:rPr>
        <w:t>Answer:</w:t>
      </w:r>
    </w:p>
    <w:p w:rsidR="00BB0CA0" w:rsidRPr="007501B6" w:rsidRDefault="0076240A" w:rsidP="00C36DF3">
      <w:pPr>
        <w:pBdr>
          <w:top w:val="single" w:sz="4" w:space="1" w:color="auto"/>
          <w:left w:val="single" w:sz="4" w:space="4" w:color="auto"/>
          <w:bottom w:val="single" w:sz="4" w:space="1" w:color="auto"/>
          <w:right w:val="single" w:sz="4" w:space="4" w:color="auto"/>
        </w:pBdr>
        <w:jc w:val="both"/>
        <w:rPr>
          <w:rFonts w:ascii="Verdana" w:hAnsi="Verdana"/>
          <w:lang w:val="en-US"/>
        </w:rPr>
      </w:pPr>
      <w:r w:rsidRPr="007501B6">
        <w:rPr>
          <w:rFonts w:ascii="Verdana" w:hAnsi="Verdana"/>
          <w:lang w:val="en-US"/>
        </w:rPr>
        <w:t xml:space="preserve">After the comments received and the public </w:t>
      </w:r>
      <w:r w:rsidR="0086495F" w:rsidRPr="007501B6">
        <w:rPr>
          <w:rFonts w:ascii="Verdana" w:hAnsi="Verdana"/>
          <w:lang w:val="en-US"/>
        </w:rPr>
        <w:t>event,</w:t>
      </w:r>
      <w:r w:rsidRPr="007501B6">
        <w:rPr>
          <w:rFonts w:ascii="Verdana" w:hAnsi="Verdana"/>
          <w:lang w:val="en-US"/>
        </w:rPr>
        <w:t xml:space="preserve"> EIOPA has further </w:t>
      </w:r>
      <w:r w:rsidR="00F8223F">
        <w:rPr>
          <w:rFonts w:ascii="Verdana" w:hAnsi="Verdana"/>
          <w:lang w:val="en-US"/>
        </w:rPr>
        <w:t>analysed</w:t>
      </w:r>
      <w:r w:rsidRPr="007501B6">
        <w:rPr>
          <w:rFonts w:ascii="Verdana" w:hAnsi="Verdana"/>
          <w:lang w:val="en-US"/>
        </w:rPr>
        <w:t xml:space="preserve"> the options to report </w:t>
      </w:r>
      <w:r w:rsidR="002A3D11" w:rsidRPr="00BA2A0B">
        <w:rPr>
          <w:rFonts w:ascii="Verdana" w:hAnsi="Verdana"/>
          <w:lang w:val="en-US"/>
        </w:rPr>
        <w:t xml:space="preserve">index-linked </w:t>
      </w:r>
      <w:r w:rsidR="002A3D11">
        <w:rPr>
          <w:rFonts w:ascii="Verdana" w:hAnsi="Verdana"/>
          <w:lang w:val="en-US"/>
        </w:rPr>
        <w:t xml:space="preserve">and unit-linked </w:t>
      </w:r>
      <w:r w:rsidRPr="007501B6">
        <w:rPr>
          <w:rFonts w:ascii="Verdana" w:hAnsi="Verdana"/>
          <w:lang w:val="en-US"/>
        </w:rPr>
        <w:t>business. The approach should be the following:</w:t>
      </w:r>
    </w:p>
    <w:p w:rsidR="0076240A" w:rsidRPr="007501B6" w:rsidRDefault="0076240A" w:rsidP="005A4847">
      <w:pPr>
        <w:pBdr>
          <w:top w:val="single" w:sz="4" w:space="1" w:color="auto"/>
          <w:left w:val="single" w:sz="4" w:space="4" w:color="auto"/>
          <w:bottom w:val="single" w:sz="4" w:space="1" w:color="auto"/>
          <w:right w:val="single" w:sz="4" w:space="4" w:color="auto"/>
        </w:pBdr>
        <w:rPr>
          <w:rFonts w:ascii="Verdana" w:hAnsi="Verdana"/>
          <w:lang w:val="en-US"/>
        </w:rPr>
      </w:pPr>
      <w:r w:rsidRPr="007501B6">
        <w:rPr>
          <w:rFonts w:ascii="Verdana" w:hAnsi="Verdana"/>
          <w:lang w:val="en-US"/>
        </w:rPr>
        <w:t xml:space="preserve">- In S.29.02 and in S.29.01.R0190, Assets held for </w:t>
      </w:r>
      <w:r w:rsidR="002A3D11" w:rsidRPr="00BA2A0B">
        <w:rPr>
          <w:rFonts w:ascii="Verdana" w:hAnsi="Verdana"/>
          <w:lang w:val="en-US"/>
        </w:rPr>
        <w:t xml:space="preserve">index-linked </w:t>
      </w:r>
      <w:r w:rsidR="002A3D11">
        <w:rPr>
          <w:rFonts w:ascii="Verdana" w:hAnsi="Verdana"/>
          <w:lang w:val="en-US"/>
        </w:rPr>
        <w:t xml:space="preserve">and unit-linked </w:t>
      </w:r>
      <w:r w:rsidRPr="007501B6">
        <w:rPr>
          <w:rFonts w:ascii="Verdana" w:hAnsi="Verdana"/>
          <w:lang w:val="en-US"/>
        </w:rPr>
        <w:t>should be included;</w:t>
      </w:r>
    </w:p>
    <w:p w:rsidR="0076240A" w:rsidRPr="007501B6" w:rsidRDefault="0076240A" w:rsidP="00C36DF3">
      <w:pPr>
        <w:pBdr>
          <w:top w:val="single" w:sz="4" w:space="1" w:color="auto"/>
          <w:left w:val="single" w:sz="4" w:space="4" w:color="auto"/>
          <w:bottom w:val="single" w:sz="4" w:space="1" w:color="auto"/>
          <w:right w:val="single" w:sz="4" w:space="4" w:color="auto"/>
        </w:pBdr>
        <w:jc w:val="both"/>
        <w:rPr>
          <w:rFonts w:ascii="Verdana" w:hAnsi="Verdana"/>
          <w:lang w:val="en-US"/>
        </w:rPr>
      </w:pPr>
      <w:r w:rsidRPr="007501B6">
        <w:rPr>
          <w:rFonts w:ascii="Verdana" w:hAnsi="Verdana"/>
          <w:lang w:val="en-US"/>
        </w:rPr>
        <w:t>- In S.29.03 (main tables)</w:t>
      </w:r>
      <w:r w:rsidR="003C65DB">
        <w:rPr>
          <w:rFonts w:ascii="Verdana" w:hAnsi="Verdana"/>
          <w:lang w:val="en-US"/>
        </w:rPr>
        <w:t>,</w:t>
      </w:r>
      <w:r w:rsidRPr="007501B6">
        <w:rPr>
          <w:rFonts w:ascii="Verdana" w:hAnsi="Verdana"/>
          <w:lang w:val="en-US"/>
        </w:rPr>
        <w:t xml:space="preserve"> S.29.04</w:t>
      </w:r>
      <w:r w:rsidR="00B23D69" w:rsidRPr="007501B6">
        <w:rPr>
          <w:rFonts w:ascii="Verdana" w:hAnsi="Verdana"/>
          <w:lang w:val="en-US"/>
        </w:rPr>
        <w:t xml:space="preserve"> and in S.29.01.R0200</w:t>
      </w:r>
      <w:r w:rsidRPr="007501B6">
        <w:rPr>
          <w:rFonts w:ascii="Verdana" w:hAnsi="Verdana"/>
          <w:lang w:val="en-US"/>
        </w:rPr>
        <w:t xml:space="preserve">, </w:t>
      </w:r>
      <w:r w:rsidR="003C65DB">
        <w:rPr>
          <w:rFonts w:ascii="Verdana" w:hAnsi="Verdana"/>
          <w:lang w:val="en-US"/>
        </w:rPr>
        <w:t xml:space="preserve">the best estimate </w:t>
      </w:r>
      <w:r w:rsidR="00C36DF3">
        <w:rPr>
          <w:rFonts w:ascii="Verdana" w:hAnsi="Verdana"/>
          <w:lang w:val="en-US"/>
        </w:rPr>
        <w:t>from</w:t>
      </w:r>
      <w:r w:rsidRPr="007501B6">
        <w:rPr>
          <w:rFonts w:ascii="Verdana" w:hAnsi="Verdana"/>
          <w:lang w:val="en-US"/>
        </w:rPr>
        <w:t xml:space="preserve"> index-linked and unit-linked should be included (</w:t>
      </w:r>
      <w:r w:rsidR="0015061E" w:rsidRPr="007501B6">
        <w:rPr>
          <w:rFonts w:ascii="Verdana" w:hAnsi="Verdana"/>
          <w:lang w:val="en-US"/>
        </w:rPr>
        <w:t>S.29.03.R0360/C0120</w:t>
      </w:r>
      <w:r w:rsidR="0015061E" w:rsidRPr="007501B6">
        <w:rPr>
          <w:rFonts w:ascii="Verdana" w:eastAsia="Verdana" w:hAnsi="Verdana" w:cs="Verdana"/>
          <w:lang w:val="en-US"/>
        </w:rPr>
        <w:t xml:space="preserve"> </w:t>
      </w:r>
      <w:r w:rsidR="0015061E" w:rsidRPr="007501B6">
        <w:rPr>
          <w:rFonts w:ascii="Verdana" w:hAnsi="Verdana"/>
          <w:lang w:val="en-US"/>
        </w:rPr>
        <w:t>and C0130</w:t>
      </w:r>
      <w:r w:rsidR="0015061E">
        <w:rPr>
          <w:rFonts w:ascii="Verdana" w:hAnsi="Verdana"/>
          <w:lang w:val="en-US"/>
        </w:rPr>
        <w:t xml:space="preserve"> should include best estimate, </w:t>
      </w:r>
      <w:r w:rsidR="00B23D69" w:rsidRPr="007501B6">
        <w:rPr>
          <w:rFonts w:ascii="Verdana" w:hAnsi="Verdana"/>
          <w:lang w:val="en-US"/>
        </w:rPr>
        <w:t xml:space="preserve">the risk margin, technical provisions calculated as a whole and the transitional measure on </w:t>
      </w:r>
      <w:r w:rsidR="00722C63">
        <w:rPr>
          <w:rFonts w:ascii="Verdana" w:hAnsi="Verdana"/>
          <w:lang w:val="en-US"/>
        </w:rPr>
        <w:t>t</w:t>
      </w:r>
      <w:r w:rsidR="00B23D69" w:rsidRPr="007501B6">
        <w:rPr>
          <w:rFonts w:ascii="Verdana" w:hAnsi="Verdana"/>
          <w:lang w:val="en-US"/>
        </w:rPr>
        <w:t xml:space="preserve">echnical </w:t>
      </w:r>
      <w:r w:rsidR="00722C63">
        <w:rPr>
          <w:rFonts w:ascii="Verdana" w:hAnsi="Verdana"/>
          <w:lang w:val="en-US"/>
        </w:rPr>
        <w:t>p</w:t>
      </w:r>
      <w:r w:rsidR="00B23D69" w:rsidRPr="007501B6">
        <w:rPr>
          <w:rFonts w:ascii="Verdana" w:hAnsi="Verdana"/>
          <w:lang w:val="en-US"/>
        </w:rPr>
        <w:t xml:space="preserve">rovisions </w:t>
      </w:r>
      <w:r w:rsidR="00372452" w:rsidRPr="007501B6">
        <w:rPr>
          <w:rFonts w:ascii="Verdana" w:hAnsi="Verdana"/>
          <w:lang w:val="en-US"/>
        </w:rPr>
        <w:t>of</w:t>
      </w:r>
      <w:r w:rsidR="0015061E">
        <w:rPr>
          <w:rFonts w:ascii="Verdana" w:hAnsi="Verdana"/>
          <w:lang w:val="en-US"/>
        </w:rPr>
        <w:t xml:space="preserve"> all </w:t>
      </w:r>
      <w:r w:rsidRPr="007501B6">
        <w:rPr>
          <w:rFonts w:ascii="Verdana" w:hAnsi="Verdana"/>
          <w:lang w:val="en-US"/>
        </w:rPr>
        <w:t>business</w:t>
      </w:r>
      <w:r w:rsidR="0086495F">
        <w:rPr>
          <w:rFonts w:ascii="Verdana" w:hAnsi="Verdana"/>
          <w:lang w:val="en-US"/>
        </w:rPr>
        <w:t>);</w:t>
      </w:r>
      <w:r w:rsidRPr="007501B6">
        <w:rPr>
          <w:rFonts w:ascii="Verdana" w:hAnsi="Verdana"/>
          <w:lang w:val="en-US"/>
        </w:rPr>
        <w:t xml:space="preserve"> </w:t>
      </w:r>
    </w:p>
    <w:p w:rsidR="00B23D69" w:rsidRPr="00BB09C7" w:rsidRDefault="00B23D69" w:rsidP="00BB09C7">
      <w:pPr>
        <w:pBdr>
          <w:top w:val="single" w:sz="4" w:space="1" w:color="auto"/>
          <w:left w:val="single" w:sz="4" w:space="4" w:color="auto"/>
          <w:bottom w:val="single" w:sz="4" w:space="1" w:color="auto"/>
          <w:right w:val="single" w:sz="4" w:space="4" w:color="auto"/>
        </w:pBdr>
        <w:jc w:val="both"/>
        <w:rPr>
          <w:rFonts w:ascii="Verdana" w:hAnsi="Verdana"/>
          <w:color w:val="FF0000"/>
          <w:lang w:val="en-US"/>
        </w:rPr>
      </w:pPr>
      <w:r w:rsidRPr="007501B6">
        <w:rPr>
          <w:rFonts w:ascii="Verdana" w:hAnsi="Verdana"/>
          <w:lang w:val="en-US"/>
        </w:rPr>
        <w:t xml:space="preserve">- In S.29.03.R0300, for information only, </w:t>
      </w:r>
      <w:r w:rsidR="00722C63">
        <w:rPr>
          <w:rFonts w:ascii="Verdana" w:hAnsi="Verdana"/>
          <w:lang w:val="en-US"/>
        </w:rPr>
        <w:t xml:space="preserve">the </w:t>
      </w:r>
      <w:r w:rsidRPr="00A64D79">
        <w:rPr>
          <w:rFonts w:ascii="Verdana" w:hAnsi="Verdana"/>
        </w:rPr>
        <w:t xml:space="preserve">net impact of the amount of assets held by </w:t>
      </w:r>
      <w:r w:rsidR="002A3D11" w:rsidRPr="00BA2A0B">
        <w:rPr>
          <w:rFonts w:ascii="Verdana" w:hAnsi="Verdana"/>
          <w:lang w:val="en-US"/>
        </w:rPr>
        <w:t xml:space="preserve">index-linked </w:t>
      </w:r>
      <w:r w:rsidR="002A3D11">
        <w:rPr>
          <w:rFonts w:ascii="Verdana" w:hAnsi="Verdana"/>
          <w:lang w:val="en-US"/>
        </w:rPr>
        <w:t xml:space="preserve">and unit-linked </w:t>
      </w:r>
      <w:r w:rsidRPr="00A64D79">
        <w:rPr>
          <w:rFonts w:ascii="Verdana" w:hAnsi="Verdana"/>
        </w:rPr>
        <w:t xml:space="preserve">business and of </w:t>
      </w:r>
      <w:r w:rsidR="00722C63">
        <w:rPr>
          <w:rFonts w:ascii="Verdana" w:hAnsi="Verdana"/>
        </w:rPr>
        <w:t>t</w:t>
      </w:r>
      <w:r w:rsidRPr="00BE5564">
        <w:rPr>
          <w:rFonts w:ascii="Verdana" w:hAnsi="Verdana"/>
        </w:rPr>
        <w:t xml:space="preserve">echnical provisions – index-linked and </w:t>
      </w:r>
      <w:r w:rsidRPr="00A67EAD">
        <w:rPr>
          <w:rFonts w:ascii="Verdana" w:hAnsi="Verdana"/>
        </w:rPr>
        <w:t>unit-linked</w:t>
      </w:r>
      <w:r w:rsidR="00722C63" w:rsidRPr="00A67EAD">
        <w:rPr>
          <w:rFonts w:ascii="Verdana" w:hAnsi="Verdana"/>
        </w:rPr>
        <w:t xml:space="preserve"> </w:t>
      </w:r>
      <w:r w:rsidR="00722C63" w:rsidRPr="00157037">
        <w:rPr>
          <w:rFonts w:ascii="Verdana" w:hAnsi="Verdana"/>
          <w:lang w:val="en-US"/>
        </w:rPr>
        <w:t>is requested</w:t>
      </w:r>
      <w:r w:rsidR="001B636A">
        <w:rPr>
          <w:rFonts w:ascii="Verdana" w:hAnsi="Verdana"/>
          <w:lang w:val="en-US"/>
        </w:rPr>
        <w:t xml:space="preserve">, </w:t>
      </w:r>
      <w:r w:rsidR="001B636A" w:rsidRPr="00BB09C7">
        <w:rPr>
          <w:rFonts w:ascii="Verdana" w:hAnsi="Verdana"/>
          <w:color w:val="FF0000"/>
          <w:lang w:val="en-US"/>
        </w:rPr>
        <w:t>including the technical flows, should be reported for information. A positive impact in variation of EoAoL should be reported positive</w:t>
      </w:r>
      <w:r w:rsidRPr="00BB09C7">
        <w:rPr>
          <w:rFonts w:ascii="Verdana" w:hAnsi="Verdana"/>
          <w:color w:val="FF0000"/>
        </w:rPr>
        <w:t>.</w:t>
      </w:r>
    </w:p>
    <w:p w:rsidR="00BB0CA0" w:rsidRPr="005A4847" w:rsidRDefault="003B0290">
      <w:pPr>
        <w:pBdr>
          <w:top w:val="single" w:sz="4" w:space="1" w:color="auto"/>
          <w:left w:val="single" w:sz="4" w:space="4" w:color="auto"/>
          <w:bottom w:val="single" w:sz="4" w:space="1" w:color="auto"/>
          <w:right w:val="single" w:sz="4" w:space="4" w:color="auto"/>
        </w:pBdr>
        <w:rPr>
          <w:rFonts w:ascii="Verdana" w:hAnsi="Verdana"/>
          <w:b/>
          <w:lang w:val="en-US"/>
        </w:rPr>
      </w:pPr>
      <w:r w:rsidRPr="00A67EAD">
        <w:rPr>
          <w:rFonts w:ascii="Verdana" w:hAnsi="Verdana"/>
          <w:b/>
          <w:lang w:val="en-US"/>
        </w:rPr>
        <w:t>Question</w:t>
      </w:r>
      <w:r w:rsidR="00BB0CA0" w:rsidRPr="00A67EAD">
        <w:rPr>
          <w:rFonts w:ascii="Verdana" w:hAnsi="Verdana"/>
          <w:b/>
          <w:lang w:val="en-US"/>
        </w:rPr>
        <w:t>:</w:t>
      </w:r>
    </w:p>
    <w:p w:rsidR="00BB0CA0" w:rsidRPr="00A64D79" w:rsidRDefault="00BB0CA0" w:rsidP="00FF38B7">
      <w:pPr>
        <w:pBdr>
          <w:top w:val="single" w:sz="4" w:space="1" w:color="auto"/>
          <w:left w:val="single" w:sz="4" w:space="4" w:color="auto"/>
          <w:bottom w:val="single" w:sz="4" w:space="1" w:color="auto"/>
          <w:right w:val="single" w:sz="4" w:space="4" w:color="auto"/>
        </w:pBdr>
        <w:jc w:val="both"/>
        <w:rPr>
          <w:rFonts w:ascii="Verdana" w:hAnsi="Verdana"/>
        </w:rPr>
      </w:pPr>
      <w:r w:rsidRPr="00A64D79">
        <w:rPr>
          <w:rFonts w:ascii="Verdana" w:hAnsi="Verdana"/>
        </w:rPr>
        <w:t>Our interpretation of R0250 'Other variations in Excess of Assets over Liabilities in S.29.01 is that it should contain residual variations not covered by other rows in S.29.01. The variation caused by the difference in the valuation of investments in linked funds (as per the detail in Question above) can be quite large and so we do not believe it should be included in R0250, however, there appears to be no other logical place to report it.</w:t>
      </w:r>
    </w:p>
    <w:p w:rsidR="00BB0CA0" w:rsidRPr="00A64D79" w:rsidRDefault="00BB0CA0">
      <w:pPr>
        <w:pBdr>
          <w:top w:val="single" w:sz="4" w:space="1" w:color="auto"/>
          <w:left w:val="single" w:sz="4" w:space="4" w:color="auto"/>
          <w:bottom w:val="single" w:sz="4" w:space="1" w:color="auto"/>
          <w:right w:val="single" w:sz="4" w:space="4" w:color="auto"/>
        </w:pBdr>
        <w:rPr>
          <w:rFonts w:ascii="Verdana" w:hAnsi="Verdana"/>
          <w:b/>
        </w:rPr>
      </w:pPr>
      <w:r w:rsidRPr="00A64D79">
        <w:rPr>
          <w:rFonts w:ascii="Verdana" w:hAnsi="Verdana"/>
          <w:b/>
        </w:rPr>
        <w:t>Answer:</w:t>
      </w:r>
    </w:p>
    <w:p w:rsidR="00BB0CA0" w:rsidRPr="007501B6" w:rsidRDefault="007501B6">
      <w:pPr>
        <w:pBdr>
          <w:top w:val="single" w:sz="4" w:space="1" w:color="auto"/>
          <w:left w:val="single" w:sz="4" w:space="4" w:color="auto"/>
          <w:bottom w:val="single" w:sz="4" w:space="1" w:color="auto"/>
          <w:right w:val="single" w:sz="4" w:space="4" w:color="auto"/>
        </w:pBdr>
        <w:rPr>
          <w:rFonts w:ascii="Verdana" w:hAnsi="Verdana"/>
          <w:lang w:val="en-US"/>
        </w:rPr>
      </w:pPr>
      <w:r w:rsidRPr="007501B6">
        <w:rPr>
          <w:rFonts w:ascii="Verdana" w:hAnsi="Verdana"/>
          <w:lang w:val="en-US"/>
        </w:rPr>
        <w:t xml:space="preserve">Please see previous answer. </w:t>
      </w:r>
    </w:p>
    <w:p w:rsidR="002467D1" w:rsidRPr="007853BA" w:rsidRDefault="002467D1" w:rsidP="00CE51F8">
      <w:pPr>
        <w:pStyle w:val="Heading1"/>
        <w:rPr>
          <w:rFonts w:ascii="Verdana" w:hAnsi="Verdana"/>
          <w:b w:val="0"/>
          <w:lang w:val="en-US"/>
        </w:rPr>
      </w:pPr>
      <w:r w:rsidRPr="007853BA">
        <w:rPr>
          <w:rFonts w:ascii="Verdana" w:hAnsi="Verdana"/>
          <w:sz w:val="22"/>
          <w:lang w:val="en-US"/>
        </w:rPr>
        <w:t>S.29.02 - Excess of Assets over Liabilities - explained by investments and financial liabilities</w:t>
      </w:r>
    </w:p>
    <w:p w:rsidR="00206ED3" w:rsidRDefault="00206ED3" w:rsidP="00623373">
      <w:pPr>
        <w:tabs>
          <w:tab w:val="left" w:pos="2912"/>
        </w:tabs>
        <w:jc w:val="both"/>
        <w:rPr>
          <w:lang w:val="en-US"/>
        </w:rPr>
      </w:pPr>
    </w:p>
    <w:p w:rsidR="00FF67DD" w:rsidRPr="007853BA" w:rsidRDefault="00FF67DD" w:rsidP="00FF67DD">
      <w:pPr>
        <w:pStyle w:val="ListParagraph"/>
        <w:numPr>
          <w:ilvl w:val="0"/>
          <w:numId w:val="9"/>
        </w:numPr>
        <w:ind w:left="709" w:hanging="709"/>
        <w:jc w:val="both"/>
        <w:rPr>
          <w:rFonts w:ascii="Verdana" w:hAnsi="Verdana"/>
          <w:lang w:val="en-US"/>
        </w:rPr>
      </w:pPr>
      <w:r>
        <w:rPr>
          <w:rFonts w:ascii="Verdana" w:hAnsi="Verdana"/>
          <w:lang w:val="en-US"/>
        </w:rPr>
        <w:t>As in S.29.01 the</w:t>
      </w:r>
      <w:r w:rsidRPr="007853BA">
        <w:rPr>
          <w:rFonts w:ascii="Verdana" w:hAnsi="Verdana"/>
          <w:lang w:val="en-US"/>
        </w:rPr>
        <w:t xml:space="preserve"> variation </w:t>
      </w:r>
      <w:r>
        <w:rPr>
          <w:rFonts w:ascii="Verdana" w:hAnsi="Verdana"/>
          <w:lang w:val="en-US"/>
        </w:rPr>
        <w:t xml:space="preserve">captured in this template </w:t>
      </w:r>
      <w:r w:rsidRPr="007853BA">
        <w:rPr>
          <w:rFonts w:ascii="Verdana" w:hAnsi="Verdana"/>
          <w:lang w:val="en-US"/>
        </w:rPr>
        <w:t>is not a “pure variation” as it should only capture the variation</w:t>
      </w:r>
      <w:r w:rsidR="002B0DC6">
        <w:rPr>
          <w:rFonts w:ascii="Verdana" w:hAnsi="Verdana"/>
          <w:lang w:val="en-US"/>
        </w:rPr>
        <w:t>s</w:t>
      </w:r>
      <w:r w:rsidRPr="007853BA">
        <w:rPr>
          <w:rFonts w:ascii="Verdana" w:hAnsi="Verdana"/>
          <w:lang w:val="en-US"/>
        </w:rPr>
        <w:t xml:space="preserve"> le</w:t>
      </w:r>
      <w:r w:rsidRPr="2F4470A3">
        <w:rPr>
          <w:rFonts w:ascii="Verdana" w:hAnsi="Verdana"/>
          <w:lang w:val="en-US"/>
        </w:rPr>
        <w:t xml:space="preserve">ading to an </w:t>
      </w:r>
      <w:r w:rsidRPr="007853BA">
        <w:rPr>
          <w:rFonts w:ascii="Verdana" w:hAnsi="Verdana"/>
          <w:lang w:val="en-US"/>
        </w:rPr>
        <w:t xml:space="preserve">impact </w:t>
      </w:r>
      <w:r w:rsidRPr="00AD7EC0">
        <w:rPr>
          <w:rFonts w:ascii="Verdana" w:eastAsia="Verdana" w:hAnsi="Verdana" w:cs="Verdana"/>
          <w:lang w:val="en-US"/>
        </w:rPr>
        <w:t>on</w:t>
      </w:r>
      <w:r w:rsidRPr="007853BA">
        <w:rPr>
          <w:rFonts w:ascii="Verdana" w:hAnsi="Verdana"/>
          <w:lang w:val="en-US"/>
        </w:rPr>
        <w:t xml:space="preserve"> the EoAoL</w:t>
      </w:r>
      <w:r>
        <w:rPr>
          <w:rFonts w:ascii="Verdana" w:hAnsi="Verdana"/>
          <w:lang w:val="en-US"/>
        </w:rPr>
        <w:t xml:space="preserve">. </w:t>
      </w:r>
    </w:p>
    <w:p w:rsidR="00FF67DD" w:rsidRDefault="00FF67DD" w:rsidP="00A64D79">
      <w:pPr>
        <w:pStyle w:val="ListParagraph"/>
        <w:ind w:left="709"/>
        <w:jc w:val="both"/>
        <w:rPr>
          <w:rFonts w:ascii="Verdana" w:hAnsi="Verdana"/>
          <w:lang w:val="en-US"/>
        </w:rPr>
      </w:pPr>
    </w:p>
    <w:p w:rsidR="008F5CEE" w:rsidRPr="007853BA" w:rsidRDefault="00A43C64" w:rsidP="00CE51F8">
      <w:pPr>
        <w:pStyle w:val="ListParagraph"/>
        <w:numPr>
          <w:ilvl w:val="0"/>
          <w:numId w:val="9"/>
        </w:numPr>
        <w:ind w:left="709" w:hanging="709"/>
        <w:jc w:val="both"/>
        <w:rPr>
          <w:rFonts w:ascii="Verdana" w:hAnsi="Verdana"/>
          <w:lang w:val="en-US"/>
        </w:rPr>
      </w:pPr>
      <w:r w:rsidRPr="007853BA">
        <w:rPr>
          <w:rFonts w:ascii="Verdana" w:hAnsi="Verdana"/>
          <w:lang w:val="en-US"/>
        </w:rPr>
        <w:t xml:space="preserve">Template S.29.02 details the impact </w:t>
      </w:r>
      <w:r w:rsidR="00FF67DD" w:rsidRPr="007140FC">
        <w:rPr>
          <w:rFonts w:ascii="Verdana" w:hAnsi="Verdana"/>
          <w:lang w:val="en-US"/>
        </w:rPr>
        <w:t xml:space="preserve">on own funds </w:t>
      </w:r>
      <w:r w:rsidRPr="007853BA">
        <w:rPr>
          <w:rFonts w:ascii="Verdana" w:hAnsi="Verdana"/>
          <w:lang w:val="en-US"/>
        </w:rPr>
        <w:t xml:space="preserve">of investments </w:t>
      </w:r>
      <w:r w:rsidR="00CE51F8" w:rsidRPr="007140FC">
        <w:rPr>
          <w:rFonts w:ascii="Verdana" w:hAnsi="Verdana"/>
          <w:lang w:val="en-US"/>
        </w:rPr>
        <w:t xml:space="preserve">as identified in template S.29.01.R0190 </w:t>
      </w:r>
      <w:r w:rsidR="00730546">
        <w:rPr>
          <w:rFonts w:ascii="Verdana" w:eastAsia="Verdana" w:hAnsi="Verdana" w:cs="Verdana"/>
          <w:lang w:val="en-US"/>
        </w:rPr>
        <w:t>resulting from</w:t>
      </w:r>
      <w:r w:rsidR="00FE71A8" w:rsidRPr="00AD7EC0">
        <w:rPr>
          <w:rFonts w:ascii="Verdana" w:eastAsia="Verdana" w:hAnsi="Verdana" w:cs="Verdana"/>
          <w:lang w:val="en-US"/>
        </w:rPr>
        <w:t xml:space="preserve"> </w:t>
      </w:r>
      <w:r w:rsidR="003C7A7F">
        <w:rPr>
          <w:rFonts w:ascii="Verdana" w:eastAsia="Verdana" w:hAnsi="Verdana" w:cs="Verdana"/>
          <w:lang w:val="en-US"/>
        </w:rPr>
        <w:t xml:space="preserve">both </w:t>
      </w:r>
      <w:r w:rsidR="00A26170" w:rsidRPr="007140FC">
        <w:rPr>
          <w:rFonts w:ascii="Verdana" w:hAnsi="Verdana"/>
          <w:lang w:val="en-US"/>
        </w:rPr>
        <w:t>revenues and valuation movements</w:t>
      </w:r>
      <w:r w:rsidR="008F5CEE" w:rsidRPr="007140FC">
        <w:rPr>
          <w:rFonts w:ascii="Verdana" w:hAnsi="Verdana"/>
          <w:lang w:val="en-US"/>
        </w:rPr>
        <w:t>.</w:t>
      </w:r>
    </w:p>
    <w:p w:rsidR="008F5CEE" w:rsidRDefault="008F5CEE" w:rsidP="00CE51F8">
      <w:pPr>
        <w:pStyle w:val="ListParagraph"/>
        <w:ind w:left="709"/>
        <w:jc w:val="both"/>
        <w:rPr>
          <w:rFonts w:ascii="Verdana" w:hAnsi="Verdana"/>
          <w:lang w:val="en-US"/>
        </w:rPr>
      </w:pPr>
    </w:p>
    <w:p w:rsidR="008F5CEE" w:rsidRPr="007853BA" w:rsidRDefault="008F5CEE" w:rsidP="00CE51F8">
      <w:pPr>
        <w:pStyle w:val="ListParagraph"/>
        <w:numPr>
          <w:ilvl w:val="0"/>
          <w:numId w:val="9"/>
        </w:numPr>
        <w:ind w:left="709" w:hanging="709"/>
        <w:jc w:val="both"/>
        <w:rPr>
          <w:rFonts w:ascii="Verdana" w:hAnsi="Verdana"/>
          <w:lang w:val="en-US"/>
        </w:rPr>
      </w:pPr>
      <w:r w:rsidRPr="00CE51F8">
        <w:rPr>
          <w:rFonts w:ascii="Verdana" w:hAnsi="Verdana"/>
          <w:lang w:val="en-US"/>
        </w:rPr>
        <w:t>This</w:t>
      </w:r>
      <w:r w:rsidRPr="007853BA">
        <w:rPr>
          <w:rFonts w:ascii="Verdana" w:hAnsi="Verdana"/>
          <w:lang w:val="en-US"/>
        </w:rPr>
        <w:t xml:space="preserve"> </w:t>
      </w:r>
      <w:r w:rsidRPr="007140FC">
        <w:rPr>
          <w:rFonts w:ascii="Verdana" w:hAnsi="Verdana"/>
          <w:lang w:val="en-US"/>
        </w:rPr>
        <w:t>template</w:t>
      </w:r>
      <w:r w:rsidR="00CE51F8" w:rsidRPr="007140FC">
        <w:rPr>
          <w:rFonts w:ascii="Verdana" w:hAnsi="Verdana"/>
          <w:lang w:val="en-US"/>
        </w:rPr>
        <w:t xml:space="preserve"> includes amounts referring to</w:t>
      </w:r>
      <w:r w:rsidRPr="007140FC">
        <w:rPr>
          <w:rFonts w:ascii="Verdana" w:hAnsi="Verdana"/>
          <w:lang w:val="en-US"/>
        </w:rPr>
        <w:t>:</w:t>
      </w:r>
    </w:p>
    <w:p w:rsidR="00935BAB" w:rsidRPr="00AD7EC0" w:rsidRDefault="00935BAB" w:rsidP="00AD7EC0">
      <w:pPr>
        <w:pStyle w:val="ListParagraph"/>
        <w:numPr>
          <w:ilvl w:val="0"/>
          <w:numId w:val="12"/>
        </w:numPr>
        <w:spacing w:after="0"/>
        <w:ind w:left="1134"/>
        <w:jc w:val="both"/>
        <w:rPr>
          <w:rFonts w:ascii="Verdana" w:hAnsi="Verdana"/>
        </w:rPr>
      </w:pPr>
      <w:r w:rsidRPr="00AD7EC0">
        <w:rPr>
          <w:rFonts w:ascii="Verdana,Times New Roman" w:hAnsi="Verdana,Times New Roman"/>
        </w:rPr>
        <w:t>Investments</w:t>
      </w:r>
      <w:r w:rsidR="00CE51F8" w:rsidRPr="00AD7EC0">
        <w:rPr>
          <w:rFonts w:ascii="Verdana,Times New Roman" w:hAnsi="Verdana,Times New Roman"/>
        </w:rPr>
        <w:t xml:space="preserve"> </w:t>
      </w:r>
      <w:r w:rsidR="00F50CE6">
        <w:rPr>
          <w:rFonts w:ascii="Verdana,Times New Roman" w:hAnsi="Verdana,Times New Roman"/>
        </w:rPr>
        <w:t>in S.29.02.</w:t>
      </w:r>
      <w:r w:rsidR="00CE51F8" w:rsidRPr="00AD7EC0">
        <w:rPr>
          <w:rFonts w:ascii="Verdana,Times New Roman" w:hAnsi="Verdana,Times New Roman"/>
        </w:rPr>
        <w:t>R0010</w:t>
      </w:r>
      <w:r w:rsidR="003C7A7F">
        <w:rPr>
          <w:rFonts w:ascii="Verdana,Times New Roman" w:hAnsi="Verdana,Times New Roman"/>
        </w:rPr>
        <w:t xml:space="preserve"> (as described in paragraph. </w:t>
      </w:r>
      <w:r w:rsidR="003C7A7F">
        <w:rPr>
          <w:rFonts w:ascii="Verdana,Times New Roman" w:hAnsi="Verdana,Times New Roman"/>
        </w:rPr>
        <w:fldChar w:fldCharType="begin"/>
      </w:r>
      <w:r w:rsidR="003C7A7F">
        <w:rPr>
          <w:rFonts w:ascii="Verdana,Times New Roman" w:hAnsi="Verdana,Times New Roman"/>
        </w:rPr>
        <w:instrText xml:space="preserve"> REF _Ref504028564 \r \h </w:instrText>
      </w:r>
      <w:r w:rsidR="003C7A7F">
        <w:rPr>
          <w:rFonts w:ascii="Verdana,Times New Roman" w:hAnsi="Verdana,Times New Roman"/>
        </w:rPr>
      </w:r>
      <w:r w:rsidR="003C7A7F">
        <w:rPr>
          <w:rFonts w:ascii="Verdana,Times New Roman" w:hAnsi="Verdana,Times New Roman"/>
        </w:rPr>
        <w:fldChar w:fldCharType="separate"/>
      </w:r>
      <w:r w:rsidR="000E3622" w:rsidRPr="00BB09C7">
        <w:rPr>
          <w:rFonts w:ascii="Verdana,Times New Roman" w:hAnsi="Verdana,Times New Roman"/>
          <w:color w:val="FF0000"/>
        </w:rPr>
        <w:t>1.17</w:t>
      </w:r>
      <w:r w:rsidR="003C7A7F">
        <w:rPr>
          <w:rFonts w:ascii="Verdana,Times New Roman" w:hAnsi="Verdana,Times New Roman"/>
        </w:rPr>
        <w:fldChar w:fldCharType="end"/>
      </w:r>
      <w:r w:rsidR="009A24CC">
        <w:rPr>
          <w:rFonts w:ascii="Verdana,Times New Roman" w:hAnsi="Verdana,Times New Roman"/>
        </w:rPr>
        <w:t>)</w:t>
      </w:r>
      <w:r w:rsidR="00CE51F8" w:rsidRPr="00AD7EC0">
        <w:rPr>
          <w:rFonts w:ascii="Verdana,Times New Roman" w:hAnsi="Verdana,Times New Roman"/>
        </w:rPr>
        <w:t>;</w:t>
      </w:r>
    </w:p>
    <w:p w:rsidR="008F5CEE" w:rsidRPr="00393BBA" w:rsidRDefault="008F5CEE" w:rsidP="00AD7EC0">
      <w:pPr>
        <w:pStyle w:val="ListParagraph"/>
        <w:numPr>
          <w:ilvl w:val="0"/>
          <w:numId w:val="12"/>
        </w:numPr>
        <w:spacing w:after="0"/>
        <w:ind w:left="1134"/>
        <w:jc w:val="both"/>
        <w:rPr>
          <w:rFonts w:ascii="Verdana" w:hAnsi="Verdana"/>
          <w:lang w:val="en-GB"/>
        </w:rPr>
      </w:pPr>
      <w:r w:rsidRPr="00393BBA">
        <w:rPr>
          <w:rFonts w:ascii="Verdana,Times New Roman" w:hAnsi="Verdana,Times New Roman"/>
          <w:lang w:val="en-GB"/>
        </w:rPr>
        <w:t>Own shares</w:t>
      </w:r>
      <w:r w:rsidR="00CE51F8" w:rsidRPr="00393BBA">
        <w:rPr>
          <w:rFonts w:ascii="Verdana,Times New Roman" w:hAnsi="Verdana,Times New Roman"/>
          <w:lang w:val="en-GB"/>
        </w:rPr>
        <w:t xml:space="preserve"> </w:t>
      </w:r>
      <w:r w:rsidR="00F50CE6" w:rsidRPr="00393BBA">
        <w:rPr>
          <w:rFonts w:ascii="Verdana,Times New Roman" w:hAnsi="Verdana,Times New Roman"/>
          <w:lang w:val="en-GB"/>
        </w:rPr>
        <w:t>in S.29.02.</w:t>
      </w:r>
      <w:r w:rsidR="00CE51F8" w:rsidRPr="00393BBA">
        <w:rPr>
          <w:rFonts w:ascii="Verdana,Times New Roman" w:hAnsi="Verdana,Times New Roman"/>
          <w:lang w:val="en-GB"/>
        </w:rPr>
        <w:t>R0020</w:t>
      </w:r>
      <w:r w:rsidRPr="00393BBA">
        <w:rPr>
          <w:rFonts w:ascii="Verdana,Times New Roman" w:hAnsi="Verdana,Times New Roman"/>
          <w:lang w:val="en-GB"/>
        </w:rPr>
        <w:t>;</w:t>
      </w:r>
    </w:p>
    <w:p w:rsidR="008F5CEE" w:rsidRPr="00AD7EC0" w:rsidRDefault="008F5CEE" w:rsidP="00AD7EC0">
      <w:pPr>
        <w:pStyle w:val="ListParagraph"/>
        <w:numPr>
          <w:ilvl w:val="0"/>
          <w:numId w:val="12"/>
        </w:numPr>
        <w:spacing w:after="0"/>
        <w:ind w:left="1134"/>
        <w:jc w:val="both"/>
        <w:rPr>
          <w:rFonts w:ascii="Verdana" w:hAnsi="Verdana"/>
          <w:lang w:val="en-US"/>
        </w:rPr>
      </w:pPr>
      <w:r w:rsidRPr="00AD7EC0">
        <w:rPr>
          <w:rFonts w:ascii="Verdana" w:hAnsi="Verdana"/>
          <w:lang w:val="en-US"/>
        </w:rPr>
        <w:t>Financial liabilities</w:t>
      </w:r>
      <w:r w:rsidR="009A24CC">
        <w:rPr>
          <w:rFonts w:ascii="Verdana" w:hAnsi="Verdana"/>
          <w:lang w:val="en-US"/>
        </w:rPr>
        <w:t xml:space="preserve"> </w:t>
      </w:r>
      <w:r w:rsidR="00F50CE6" w:rsidRPr="001140E9">
        <w:rPr>
          <w:rFonts w:ascii="Verdana" w:hAnsi="Verdana"/>
          <w:lang w:val="en-US"/>
        </w:rPr>
        <w:t xml:space="preserve">in </w:t>
      </w:r>
      <w:r w:rsidR="00F50CE6">
        <w:rPr>
          <w:rFonts w:ascii="Verdana" w:hAnsi="Verdana"/>
          <w:lang w:val="en-US"/>
        </w:rPr>
        <w:t xml:space="preserve">S.29.02. </w:t>
      </w:r>
      <w:r w:rsidR="00F50CE6" w:rsidRPr="001140E9">
        <w:rPr>
          <w:rFonts w:ascii="Verdana" w:hAnsi="Verdana"/>
          <w:lang w:val="en-US"/>
        </w:rPr>
        <w:t>R0030</w:t>
      </w:r>
      <w:r w:rsidR="009A24CC">
        <w:rPr>
          <w:rFonts w:ascii="Verdana" w:hAnsi="Verdana"/>
          <w:lang w:val="en-US"/>
        </w:rPr>
        <w:t xml:space="preserve"> (as described in paragraph </w:t>
      </w:r>
      <w:r w:rsidR="009A24CC">
        <w:rPr>
          <w:rFonts w:ascii="Verdana" w:hAnsi="Verdana"/>
          <w:lang w:val="en-US"/>
        </w:rPr>
        <w:fldChar w:fldCharType="begin"/>
      </w:r>
      <w:r w:rsidR="009A24CC">
        <w:rPr>
          <w:rFonts w:ascii="Verdana" w:hAnsi="Verdana"/>
          <w:lang w:val="en-US"/>
        </w:rPr>
        <w:instrText xml:space="preserve"> REF _Ref504028668 \r \h </w:instrText>
      </w:r>
      <w:r w:rsidR="009A24CC">
        <w:rPr>
          <w:rFonts w:ascii="Verdana" w:hAnsi="Verdana"/>
          <w:lang w:val="en-US"/>
        </w:rPr>
      </w:r>
      <w:r w:rsidR="009A24CC">
        <w:rPr>
          <w:rFonts w:ascii="Verdana" w:hAnsi="Verdana"/>
          <w:lang w:val="en-US"/>
        </w:rPr>
        <w:fldChar w:fldCharType="separate"/>
      </w:r>
      <w:r w:rsidR="000E3622" w:rsidRPr="00BB09C7">
        <w:rPr>
          <w:rFonts w:ascii="Verdana" w:hAnsi="Verdana"/>
          <w:color w:val="FF0000"/>
          <w:lang w:val="en-US"/>
        </w:rPr>
        <w:t>1.19</w:t>
      </w:r>
      <w:r w:rsidR="009A24CC">
        <w:rPr>
          <w:rFonts w:ascii="Verdana" w:hAnsi="Verdana"/>
          <w:lang w:val="en-US"/>
        </w:rPr>
        <w:fldChar w:fldCharType="end"/>
      </w:r>
      <w:r w:rsidR="009A24CC">
        <w:rPr>
          <w:rFonts w:ascii="Verdana" w:hAnsi="Verdana"/>
          <w:lang w:val="en-US"/>
        </w:rPr>
        <w:t>).</w:t>
      </w:r>
    </w:p>
    <w:p w:rsidR="00386257" w:rsidRDefault="00386257" w:rsidP="007853BA">
      <w:pPr>
        <w:pStyle w:val="ListParagraph"/>
        <w:jc w:val="both"/>
        <w:rPr>
          <w:rFonts w:ascii="Verdana" w:hAnsi="Verdana"/>
          <w:lang w:val="en-US"/>
        </w:rPr>
      </w:pPr>
    </w:p>
    <w:p w:rsidR="008F5CEE" w:rsidRPr="00AD7EC0" w:rsidRDefault="00386257" w:rsidP="00132524">
      <w:pPr>
        <w:pStyle w:val="ListParagraph"/>
        <w:numPr>
          <w:ilvl w:val="0"/>
          <w:numId w:val="9"/>
        </w:numPr>
        <w:ind w:left="709" w:hanging="709"/>
        <w:jc w:val="both"/>
        <w:rPr>
          <w:rFonts w:ascii="Verdana" w:hAnsi="Verdana"/>
          <w:lang w:val="en-US"/>
        </w:rPr>
      </w:pPr>
      <w:r w:rsidRPr="00A803D9">
        <w:rPr>
          <w:rFonts w:ascii="Verdana" w:hAnsi="Verdana"/>
          <w:lang w:val="en-US"/>
        </w:rPr>
        <w:t>This template excludes amounts referring to</w:t>
      </w:r>
      <w:r w:rsidR="00A803D9" w:rsidRPr="00A803D9">
        <w:rPr>
          <w:rFonts w:ascii="Verdana" w:hAnsi="Verdana"/>
          <w:lang w:val="en-US"/>
        </w:rPr>
        <w:t xml:space="preserve"> </w:t>
      </w:r>
      <w:r w:rsidR="00AB40B1">
        <w:rPr>
          <w:rFonts w:ascii="Verdana" w:hAnsi="Verdana"/>
          <w:lang w:val="en-US"/>
        </w:rPr>
        <w:t>“</w:t>
      </w:r>
      <w:r w:rsidRPr="00AD7EC0">
        <w:rPr>
          <w:rFonts w:ascii="Verdana" w:hAnsi="Verdana"/>
          <w:lang w:val="en-US"/>
        </w:rPr>
        <w:t>Pr</w:t>
      </w:r>
      <w:r w:rsidR="008F5CEE" w:rsidRPr="00AD7EC0">
        <w:rPr>
          <w:rFonts w:ascii="Verdana" w:hAnsi="Verdana"/>
          <w:lang w:val="en-US"/>
        </w:rPr>
        <w:t>operty</w:t>
      </w:r>
      <w:r w:rsidR="00F162FC">
        <w:rPr>
          <w:rFonts w:ascii="Verdana" w:hAnsi="Verdana"/>
          <w:lang w:val="en-US"/>
        </w:rPr>
        <w:t xml:space="preserve">, plant &amp; equipment </w:t>
      </w:r>
      <w:r w:rsidR="008F5CEE" w:rsidRPr="00AD7EC0">
        <w:rPr>
          <w:rFonts w:ascii="Verdana" w:hAnsi="Verdana"/>
          <w:lang w:val="en-US"/>
        </w:rPr>
        <w:t>held for own use</w:t>
      </w:r>
      <w:r w:rsidR="00AB40B1">
        <w:rPr>
          <w:rFonts w:ascii="Verdana" w:hAnsi="Verdana"/>
          <w:lang w:val="en-US"/>
        </w:rPr>
        <w:t xml:space="preserve">”, </w:t>
      </w:r>
      <w:r w:rsidR="00A803D9">
        <w:rPr>
          <w:rFonts w:ascii="Verdana" w:hAnsi="Verdana"/>
          <w:lang w:val="en-US"/>
        </w:rPr>
        <w:t xml:space="preserve">other assets and </w:t>
      </w:r>
      <w:r w:rsidR="00A316B8">
        <w:rPr>
          <w:rFonts w:ascii="Verdana" w:hAnsi="Verdana"/>
          <w:lang w:val="en-US"/>
        </w:rPr>
        <w:t>“</w:t>
      </w:r>
      <w:r w:rsidR="00A803D9">
        <w:rPr>
          <w:rFonts w:ascii="Verdana" w:hAnsi="Verdana"/>
          <w:lang w:val="en-US"/>
        </w:rPr>
        <w:t>liabilities other than technical provisions</w:t>
      </w:r>
      <w:r w:rsidR="00A316B8">
        <w:rPr>
          <w:rFonts w:ascii="Verdana" w:hAnsi="Verdana"/>
          <w:lang w:val="en-US"/>
        </w:rPr>
        <w:t>”</w:t>
      </w:r>
      <w:r w:rsidR="00A803D9">
        <w:rPr>
          <w:rFonts w:ascii="Verdana" w:hAnsi="Verdana"/>
          <w:lang w:val="en-US"/>
        </w:rPr>
        <w:t xml:space="preserve">, </w:t>
      </w:r>
      <w:r w:rsidR="00A316B8">
        <w:rPr>
          <w:rFonts w:ascii="Verdana" w:hAnsi="Verdana"/>
          <w:lang w:val="en-US"/>
        </w:rPr>
        <w:t>which are</w:t>
      </w:r>
      <w:r w:rsidR="00A803D9">
        <w:rPr>
          <w:rFonts w:ascii="Verdana" w:hAnsi="Verdana"/>
          <w:lang w:val="en-US"/>
        </w:rPr>
        <w:t xml:space="preserve">, not considered </w:t>
      </w:r>
      <w:r w:rsidR="0009470E">
        <w:rPr>
          <w:rFonts w:ascii="Verdana" w:hAnsi="Verdana"/>
          <w:lang w:val="en-US"/>
        </w:rPr>
        <w:t>as</w:t>
      </w:r>
      <w:r w:rsidR="00A803D9">
        <w:rPr>
          <w:rFonts w:ascii="Verdana" w:hAnsi="Verdana"/>
          <w:lang w:val="en-US"/>
        </w:rPr>
        <w:t xml:space="preserve"> investments and financial liabilities</w:t>
      </w:r>
      <w:r w:rsidR="002F0628">
        <w:rPr>
          <w:rFonts w:ascii="Verdana" w:hAnsi="Verdana"/>
          <w:lang w:val="en-US"/>
        </w:rPr>
        <w:t xml:space="preserve"> (as described in paragraph 1.23)</w:t>
      </w:r>
      <w:r w:rsidR="008F5CEE" w:rsidRPr="00AD7EC0">
        <w:rPr>
          <w:rFonts w:ascii="Verdana" w:hAnsi="Verdana"/>
          <w:lang w:val="en-US"/>
        </w:rPr>
        <w:t>.</w:t>
      </w:r>
    </w:p>
    <w:p w:rsidR="008F5CEE" w:rsidRPr="00AD7EC0" w:rsidRDefault="008F5CEE" w:rsidP="008F5CEE">
      <w:pPr>
        <w:pStyle w:val="ListParagraph"/>
        <w:spacing w:after="0"/>
        <w:jc w:val="both"/>
        <w:rPr>
          <w:rFonts w:ascii="Times New Roman" w:hAnsi="Times New Roman"/>
          <w:sz w:val="20"/>
          <w:lang w:val="en-US"/>
        </w:rPr>
      </w:pPr>
    </w:p>
    <w:p w:rsidR="00CE51F8" w:rsidRPr="007853BA" w:rsidRDefault="00CE51F8" w:rsidP="00CE51F8">
      <w:pPr>
        <w:pStyle w:val="ListParagraph"/>
        <w:numPr>
          <w:ilvl w:val="0"/>
          <w:numId w:val="9"/>
        </w:numPr>
        <w:ind w:left="709" w:hanging="709"/>
        <w:jc w:val="both"/>
        <w:rPr>
          <w:rFonts w:ascii="Verdana" w:hAnsi="Verdana"/>
          <w:lang w:val="en-US"/>
        </w:rPr>
      </w:pPr>
      <w:r w:rsidRPr="007140FC">
        <w:rPr>
          <w:rFonts w:ascii="Verdana" w:hAnsi="Verdana"/>
          <w:lang w:val="en-US"/>
        </w:rPr>
        <w:t>In the specific case of “</w:t>
      </w:r>
      <w:r w:rsidR="00914871">
        <w:rPr>
          <w:rFonts w:ascii="Verdana" w:hAnsi="Verdana"/>
          <w:lang w:val="en-US"/>
        </w:rPr>
        <w:t>o</w:t>
      </w:r>
      <w:r w:rsidRPr="007140FC">
        <w:rPr>
          <w:rFonts w:ascii="Verdana" w:hAnsi="Verdana"/>
          <w:lang w:val="en-US"/>
        </w:rPr>
        <w:t xml:space="preserve">wn shares”, the variation in the valuation of this item is reported only in </w:t>
      </w:r>
      <w:r w:rsidR="00DE49E8">
        <w:rPr>
          <w:rFonts w:ascii="Verdana" w:hAnsi="Verdana"/>
          <w:lang w:val="en-US"/>
        </w:rPr>
        <w:t>S.29.02.</w:t>
      </w:r>
      <w:r w:rsidRPr="007140FC">
        <w:rPr>
          <w:rFonts w:ascii="Verdana" w:hAnsi="Verdana"/>
          <w:lang w:val="en-US"/>
        </w:rPr>
        <w:t>R0020</w:t>
      </w:r>
      <w:r w:rsidRPr="007853BA">
        <w:rPr>
          <w:rFonts w:ascii="Verdana" w:hAnsi="Verdana"/>
          <w:lang w:val="en-US"/>
        </w:rPr>
        <w:t>.</w:t>
      </w:r>
      <w:r w:rsidRPr="007140FC">
        <w:rPr>
          <w:rFonts w:ascii="Verdana" w:hAnsi="Verdana"/>
          <w:lang w:val="en-US"/>
        </w:rPr>
        <w:t xml:space="preserve"> </w:t>
      </w:r>
    </w:p>
    <w:p w:rsidR="00CE51F8" w:rsidRPr="00667C23" w:rsidRDefault="00CE51F8" w:rsidP="008F5CEE">
      <w:pPr>
        <w:pStyle w:val="ListParagraph"/>
        <w:spacing w:after="0"/>
        <w:jc w:val="both"/>
        <w:rPr>
          <w:rFonts w:ascii="Times New Roman" w:hAnsi="Times New Roman" w:cs="Times New Roman"/>
          <w:sz w:val="20"/>
          <w:lang w:val="en-US"/>
        </w:rPr>
      </w:pPr>
    </w:p>
    <w:p w:rsidR="00A26170" w:rsidRDefault="00A26170" w:rsidP="008F5CEE">
      <w:pPr>
        <w:ind w:left="426"/>
        <w:jc w:val="both"/>
        <w:rPr>
          <w:lang w:val="en-US"/>
        </w:rPr>
      </w:pPr>
      <w:r w:rsidRPr="00A26170">
        <w:rPr>
          <w:noProof/>
          <w:lang w:val="en-GB" w:eastAsia="en-GB"/>
        </w:rPr>
        <w:drawing>
          <wp:inline distT="0" distB="0" distL="0" distR="0" wp14:anchorId="7037F3E4" wp14:editId="76BCEED0">
            <wp:extent cx="5508346" cy="1835156"/>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511846" cy="1836322"/>
                    </a:xfrm>
                    <a:prstGeom prst="rect">
                      <a:avLst/>
                    </a:prstGeom>
                    <a:noFill/>
                    <a:ln>
                      <a:noFill/>
                    </a:ln>
                  </pic:spPr>
                </pic:pic>
              </a:graphicData>
            </a:graphic>
          </wp:inline>
        </w:drawing>
      </w:r>
    </w:p>
    <w:p w:rsidR="00CC348A" w:rsidRDefault="00CC348A">
      <w:pPr>
        <w:pStyle w:val="ListParagraph"/>
        <w:numPr>
          <w:ilvl w:val="0"/>
          <w:numId w:val="9"/>
        </w:numPr>
        <w:ind w:left="709" w:hanging="709"/>
        <w:jc w:val="both"/>
        <w:rPr>
          <w:rFonts w:ascii="Verdana" w:hAnsi="Verdana"/>
          <w:lang w:val="en-US"/>
        </w:rPr>
      </w:pPr>
      <w:r w:rsidRPr="00CC348A">
        <w:rPr>
          <w:rFonts w:ascii="Verdana" w:hAnsi="Verdana"/>
          <w:lang w:val="en-US"/>
        </w:rPr>
        <w:t>The amount reported in S.29.02.</w:t>
      </w:r>
      <w:r w:rsidR="00592FA5" w:rsidRPr="00CC348A">
        <w:rPr>
          <w:rFonts w:ascii="Verdana" w:hAnsi="Verdana"/>
          <w:lang w:val="en-US"/>
        </w:rPr>
        <w:t>R0060 should be the sum of R0010 to R00</w:t>
      </w:r>
      <w:r w:rsidR="006325B8">
        <w:rPr>
          <w:rFonts w:ascii="Verdana" w:hAnsi="Verdana"/>
          <w:lang w:val="en-US"/>
        </w:rPr>
        <w:t>4</w:t>
      </w:r>
      <w:r w:rsidR="00592FA5" w:rsidRPr="00CC348A">
        <w:rPr>
          <w:rFonts w:ascii="Verdana" w:hAnsi="Verdana"/>
          <w:lang w:val="en-US"/>
        </w:rPr>
        <w:t>0</w:t>
      </w:r>
      <w:r w:rsidR="006325B8">
        <w:rPr>
          <w:rFonts w:ascii="Verdana" w:hAnsi="Verdana"/>
          <w:lang w:val="en-US"/>
        </w:rPr>
        <w:t xml:space="preserve"> minus R0050</w:t>
      </w:r>
      <w:r w:rsidR="00592FA5" w:rsidRPr="00CC348A">
        <w:rPr>
          <w:rFonts w:ascii="Verdana" w:hAnsi="Verdana"/>
          <w:lang w:val="en-US"/>
        </w:rPr>
        <w:t>.</w:t>
      </w:r>
      <w:r w:rsidRPr="00CC348A">
        <w:rPr>
          <w:rFonts w:ascii="Verdana" w:hAnsi="Verdana"/>
          <w:lang w:val="en-US"/>
        </w:rPr>
        <w:t xml:space="preserve"> The amounts </w:t>
      </w:r>
      <w:r w:rsidR="006325B8">
        <w:rPr>
          <w:rFonts w:ascii="Verdana" w:hAnsi="Verdana"/>
          <w:lang w:val="en-US"/>
        </w:rPr>
        <w:t xml:space="preserve">reported in R0010 to R0030 </w:t>
      </w:r>
      <w:r w:rsidRPr="00CC348A">
        <w:rPr>
          <w:rFonts w:ascii="Verdana" w:hAnsi="Verdana"/>
          <w:lang w:val="en-US"/>
        </w:rPr>
        <w:t xml:space="preserve">should be reported as positive or negative </w:t>
      </w:r>
      <w:r w:rsidR="0009470E">
        <w:rPr>
          <w:rFonts w:ascii="Verdana" w:hAnsi="Verdana"/>
          <w:lang w:val="en-US"/>
        </w:rPr>
        <w:t>amounts</w:t>
      </w:r>
      <w:r w:rsidR="009D7BDA">
        <w:rPr>
          <w:rFonts w:ascii="Verdana" w:hAnsi="Verdana"/>
          <w:lang w:val="en-US"/>
        </w:rPr>
        <w:t xml:space="preserve"> </w:t>
      </w:r>
      <w:r w:rsidRPr="00CC348A">
        <w:rPr>
          <w:rFonts w:ascii="Verdana" w:hAnsi="Verdana"/>
          <w:lang w:val="en-US"/>
        </w:rPr>
        <w:t xml:space="preserve">according to the contribution to the variation of the EoAoL. Amounts should be reported positive if they increase the variation and negative if they decrease the variation of </w:t>
      </w:r>
      <w:r w:rsidR="002F0628">
        <w:rPr>
          <w:rFonts w:ascii="Verdana" w:hAnsi="Verdana"/>
          <w:lang w:val="en-US"/>
        </w:rPr>
        <w:t>EoAoL</w:t>
      </w:r>
      <w:r w:rsidRPr="00CC348A">
        <w:rPr>
          <w:rFonts w:ascii="Verdana" w:hAnsi="Verdana"/>
          <w:lang w:val="en-US"/>
        </w:rPr>
        <w:t xml:space="preserve">. For example, in R0030 a decrease of financial liabilities is reported as a positive amount as it positively contributes to the EoAoL. </w:t>
      </w:r>
      <w:r w:rsidR="006325B8">
        <w:rPr>
          <w:rFonts w:ascii="Verdana" w:hAnsi="Verdana"/>
          <w:lang w:val="en-US"/>
        </w:rPr>
        <w:t>Amounts reported in R0040 and R0050 should follow the default approach and be reported as positive if in line with their nature</w:t>
      </w:r>
      <w:r w:rsidRPr="00CC348A">
        <w:rPr>
          <w:rFonts w:ascii="Verdana" w:hAnsi="Verdana"/>
          <w:lang w:val="en-US"/>
        </w:rPr>
        <w:t>.</w:t>
      </w:r>
    </w:p>
    <w:p w:rsidR="00475FBE" w:rsidRDefault="00475FBE" w:rsidP="005A4847">
      <w:pPr>
        <w:pStyle w:val="ListParagraph"/>
        <w:ind w:left="709"/>
        <w:jc w:val="both"/>
        <w:rPr>
          <w:rFonts w:ascii="Verdana" w:hAnsi="Verdana"/>
          <w:lang w:val="en-US"/>
        </w:rPr>
      </w:pPr>
    </w:p>
    <w:p w:rsidR="00780637" w:rsidRDefault="00475FBE">
      <w:pPr>
        <w:pStyle w:val="ListParagraph"/>
        <w:numPr>
          <w:ilvl w:val="0"/>
          <w:numId w:val="9"/>
        </w:numPr>
        <w:ind w:left="709" w:hanging="709"/>
        <w:jc w:val="both"/>
        <w:rPr>
          <w:rFonts w:ascii="Verdana" w:hAnsi="Verdana"/>
          <w:lang w:val="en-US"/>
        </w:rPr>
      </w:pPr>
      <w:r>
        <w:rPr>
          <w:rFonts w:ascii="Verdana" w:hAnsi="Verdana"/>
          <w:lang w:val="en-US"/>
        </w:rPr>
        <w:t>In general</w:t>
      </w:r>
      <w:r w:rsidR="0009470E">
        <w:rPr>
          <w:rFonts w:ascii="Verdana" w:hAnsi="Verdana"/>
          <w:lang w:val="en-US"/>
        </w:rPr>
        <w:t>,</w:t>
      </w:r>
      <w:r>
        <w:rPr>
          <w:rFonts w:ascii="Verdana" w:hAnsi="Verdana"/>
          <w:lang w:val="en-US"/>
        </w:rPr>
        <w:t xml:space="preserve"> the amounts </w:t>
      </w:r>
      <w:r w:rsidR="0009470E">
        <w:rPr>
          <w:rFonts w:ascii="Verdana" w:hAnsi="Verdana"/>
          <w:lang w:val="en-US"/>
        </w:rPr>
        <w:t xml:space="preserve">regarding investments </w:t>
      </w:r>
      <w:r>
        <w:rPr>
          <w:rFonts w:ascii="Verdana" w:hAnsi="Verdana"/>
          <w:lang w:val="en-US"/>
        </w:rPr>
        <w:t>reported in this template should be consistent with the ones reported in S.09.01. This means that</w:t>
      </w:r>
      <w:r w:rsidR="00780637">
        <w:rPr>
          <w:rFonts w:ascii="Verdana" w:hAnsi="Verdana"/>
          <w:lang w:val="en-US"/>
        </w:rPr>
        <w:t>:</w:t>
      </w:r>
    </w:p>
    <w:p w:rsidR="00780637" w:rsidRDefault="00C41BAC" w:rsidP="00FF38B7">
      <w:pPr>
        <w:pStyle w:val="ListParagraph"/>
        <w:numPr>
          <w:ilvl w:val="0"/>
          <w:numId w:val="87"/>
        </w:numPr>
        <w:ind w:left="1134"/>
        <w:jc w:val="both"/>
        <w:rPr>
          <w:rFonts w:ascii="Verdana" w:hAnsi="Verdana"/>
          <w:lang w:val="en-US"/>
        </w:rPr>
      </w:pPr>
      <w:r w:rsidRPr="005A4847">
        <w:rPr>
          <w:rFonts w:ascii="Verdana" w:hAnsi="Verdana"/>
          <w:lang w:val="en-US"/>
        </w:rPr>
        <w:t>the amounts reported in S.29</w:t>
      </w:r>
      <w:r w:rsidRPr="00FF38B7">
        <w:rPr>
          <w:rFonts w:ascii="Verdana" w:hAnsi="Verdana"/>
          <w:lang w:val="en-US"/>
        </w:rPr>
        <w:t>.</w:t>
      </w:r>
      <w:r w:rsidR="009D7BDA">
        <w:rPr>
          <w:rFonts w:ascii="Verdana" w:hAnsi="Verdana"/>
          <w:lang w:val="en-US"/>
        </w:rPr>
        <w:t>02</w:t>
      </w:r>
      <w:r w:rsidRPr="005A4847">
        <w:rPr>
          <w:rFonts w:ascii="Verdana" w:hAnsi="Verdana"/>
          <w:lang w:val="en-US"/>
        </w:rPr>
        <w:t>.R0010 should be consistent with the amounts reported in S.09.01.</w:t>
      </w:r>
      <w:r w:rsidR="009D7BDA">
        <w:rPr>
          <w:rFonts w:ascii="Verdana" w:hAnsi="Verdana"/>
          <w:lang w:val="en-US"/>
        </w:rPr>
        <w:t xml:space="preserve"> </w:t>
      </w:r>
      <w:r w:rsidRPr="005A4847">
        <w:rPr>
          <w:rFonts w:ascii="Verdana" w:hAnsi="Verdana"/>
          <w:lang w:val="en-US"/>
        </w:rPr>
        <w:t xml:space="preserve">C0100 and C0110 </w:t>
      </w:r>
      <w:r w:rsidR="001927E2" w:rsidRPr="00BE269B">
        <w:rPr>
          <w:rFonts w:ascii="Verdana" w:hAnsi="Verdana"/>
          <w:lang w:val="en-US"/>
        </w:rPr>
        <w:t>(realised and unrealised gains and losses leading to a variation of EoAoL)</w:t>
      </w:r>
      <w:r w:rsidR="00780637">
        <w:rPr>
          <w:rFonts w:ascii="Verdana" w:hAnsi="Verdana"/>
          <w:lang w:val="en-US"/>
        </w:rPr>
        <w:t>;</w:t>
      </w:r>
    </w:p>
    <w:p w:rsidR="00780637" w:rsidRDefault="00F07446" w:rsidP="00FF38B7">
      <w:pPr>
        <w:pStyle w:val="ListParagraph"/>
        <w:numPr>
          <w:ilvl w:val="0"/>
          <w:numId w:val="87"/>
        </w:numPr>
        <w:ind w:left="1134"/>
        <w:jc w:val="both"/>
        <w:rPr>
          <w:rFonts w:ascii="Verdana" w:hAnsi="Verdana"/>
          <w:lang w:val="en-US"/>
        </w:rPr>
      </w:pPr>
      <w:r w:rsidRPr="00FF38B7">
        <w:rPr>
          <w:rFonts w:ascii="Verdana" w:hAnsi="Verdana"/>
          <w:lang w:val="en-US"/>
        </w:rPr>
        <w:t xml:space="preserve">the amounts </w:t>
      </w:r>
      <w:r w:rsidR="00475FBE" w:rsidRPr="00FF38B7">
        <w:rPr>
          <w:rFonts w:ascii="Verdana" w:hAnsi="Verdana"/>
          <w:lang w:val="en-US"/>
        </w:rPr>
        <w:t xml:space="preserve">to be reported in </w:t>
      </w:r>
      <w:r w:rsidR="00117A86" w:rsidRPr="00FF38B7">
        <w:rPr>
          <w:rFonts w:ascii="Verdana" w:hAnsi="Verdana"/>
          <w:lang w:val="en-US"/>
        </w:rPr>
        <w:t>S.29.02.</w:t>
      </w:r>
      <w:r w:rsidR="00475FBE" w:rsidRPr="00FF38B7">
        <w:rPr>
          <w:rFonts w:ascii="Verdana" w:hAnsi="Verdana"/>
          <w:lang w:val="en-US"/>
        </w:rPr>
        <w:t>R0070 to R0</w:t>
      </w:r>
      <w:r w:rsidR="0009470E" w:rsidRPr="00973119">
        <w:rPr>
          <w:rFonts w:ascii="Verdana" w:hAnsi="Verdana"/>
          <w:lang w:val="en-US"/>
        </w:rPr>
        <w:t>090</w:t>
      </w:r>
      <w:r w:rsidR="00475FBE" w:rsidRPr="00FF38B7">
        <w:rPr>
          <w:rFonts w:ascii="Verdana" w:hAnsi="Verdana"/>
          <w:lang w:val="en-US"/>
        </w:rPr>
        <w:t xml:space="preserve"> </w:t>
      </w:r>
      <w:r w:rsidR="0009470E" w:rsidRPr="00973119">
        <w:rPr>
          <w:rFonts w:ascii="Verdana" w:hAnsi="Verdana"/>
          <w:lang w:val="en-US"/>
        </w:rPr>
        <w:t>should</w:t>
      </w:r>
      <w:r w:rsidR="00475FBE" w:rsidRPr="00FF38B7">
        <w:rPr>
          <w:rFonts w:ascii="Verdana" w:hAnsi="Verdana"/>
          <w:lang w:val="en-US"/>
        </w:rPr>
        <w:t xml:space="preserve"> </w:t>
      </w:r>
      <w:r w:rsidR="002B7FFB" w:rsidRPr="00FF38B7">
        <w:rPr>
          <w:rFonts w:ascii="Verdana" w:hAnsi="Verdana"/>
          <w:lang w:val="en-US"/>
        </w:rPr>
        <w:t xml:space="preserve">follow the </w:t>
      </w:r>
      <w:r w:rsidR="00117A86" w:rsidRPr="00FF38B7">
        <w:rPr>
          <w:rFonts w:ascii="Verdana" w:hAnsi="Verdana"/>
          <w:lang w:val="en-US"/>
        </w:rPr>
        <w:t xml:space="preserve">valuation approach taken in S.09.01. </w:t>
      </w:r>
    </w:p>
    <w:p w:rsidR="00475FBE" w:rsidRPr="00FF38B7" w:rsidRDefault="00117A86" w:rsidP="00FF38B7">
      <w:pPr>
        <w:ind w:left="709"/>
        <w:jc w:val="both"/>
        <w:rPr>
          <w:rFonts w:ascii="Verdana" w:hAnsi="Verdana"/>
          <w:lang w:val="en-US"/>
        </w:rPr>
      </w:pPr>
      <w:r w:rsidRPr="00FF38B7">
        <w:rPr>
          <w:rFonts w:ascii="Verdana" w:hAnsi="Verdana"/>
          <w:lang w:val="en-US"/>
        </w:rPr>
        <w:t>However</w:t>
      </w:r>
      <w:r w:rsidR="002F0628">
        <w:rPr>
          <w:rFonts w:ascii="Verdana" w:hAnsi="Verdana"/>
          <w:lang w:val="en-US"/>
        </w:rPr>
        <w:t>,</w:t>
      </w:r>
      <w:r w:rsidRPr="00FF38B7">
        <w:rPr>
          <w:rFonts w:ascii="Verdana" w:hAnsi="Verdana"/>
          <w:lang w:val="en-US"/>
        </w:rPr>
        <w:t xml:space="preserve"> </w:t>
      </w:r>
      <w:r w:rsidR="002F0628" w:rsidRPr="00175799">
        <w:rPr>
          <w:rFonts w:ascii="Verdana" w:hAnsi="Verdana"/>
          <w:lang w:val="en-US"/>
        </w:rPr>
        <w:t>differences in the</w:t>
      </w:r>
      <w:r w:rsidR="002F0628">
        <w:rPr>
          <w:rFonts w:ascii="Verdana" w:hAnsi="Verdana"/>
          <w:lang w:val="en-US"/>
        </w:rPr>
        <w:t xml:space="preserve"> scope</w:t>
      </w:r>
      <w:r w:rsidR="0009470E">
        <w:rPr>
          <w:rFonts w:ascii="Verdana" w:hAnsi="Verdana"/>
          <w:lang w:val="en-US"/>
        </w:rPr>
        <w:t xml:space="preserve"> of both templates</w:t>
      </w:r>
      <w:r w:rsidRPr="005A4847">
        <w:rPr>
          <w:rFonts w:ascii="Verdana" w:hAnsi="Verdana"/>
          <w:lang w:val="en-US"/>
        </w:rPr>
        <w:t xml:space="preserve"> </w:t>
      </w:r>
      <w:r w:rsidRPr="00FF38B7">
        <w:rPr>
          <w:rFonts w:ascii="Verdana" w:hAnsi="Verdana"/>
          <w:lang w:val="en-US"/>
        </w:rPr>
        <w:t xml:space="preserve">should </w:t>
      </w:r>
      <w:r w:rsidR="002B7FFB" w:rsidRPr="00FF38B7">
        <w:rPr>
          <w:rFonts w:ascii="Verdana" w:hAnsi="Verdana"/>
          <w:lang w:val="en-US"/>
        </w:rPr>
        <w:t xml:space="preserve">also </w:t>
      </w:r>
      <w:r w:rsidRPr="00FF38B7">
        <w:rPr>
          <w:rFonts w:ascii="Verdana" w:hAnsi="Verdana"/>
          <w:lang w:val="en-US"/>
        </w:rPr>
        <w:t xml:space="preserve">be noted. </w:t>
      </w:r>
    </w:p>
    <w:p w:rsidR="00117A86" w:rsidRPr="00FF38B7" w:rsidRDefault="00117A86" w:rsidP="00FF38B7">
      <w:pPr>
        <w:pStyle w:val="ListParagraph"/>
        <w:rPr>
          <w:rFonts w:ascii="Verdana" w:hAnsi="Verdana"/>
          <w:lang w:val="en-US"/>
        </w:rPr>
      </w:pPr>
    </w:p>
    <w:p w:rsidR="00780637" w:rsidRDefault="00780637">
      <w:pPr>
        <w:pStyle w:val="ListParagraph"/>
        <w:numPr>
          <w:ilvl w:val="0"/>
          <w:numId w:val="9"/>
        </w:numPr>
        <w:ind w:left="709" w:hanging="709"/>
        <w:jc w:val="both"/>
        <w:rPr>
          <w:rFonts w:ascii="Verdana" w:hAnsi="Verdana"/>
          <w:lang w:val="en-US"/>
        </w:rPr>
      </w:pPr>
      <w:r>
        <w:rPr>
          <w:rFonts w:ascii="Verdana" w:hAnsi="Verdana"/>
          <w:lang w:val="en-US"/>
        </w:rPr>
        <w:t>S.29.02.R0040 should be the sum of S.29.02.R0070 to R0100 (</w:t>
      </w:r>
      <w:r w:rsidR="002F0628">
        <w:rPr>
          <w:rFonts w:ascii="Verdana" w:hAnsi="Verdana"/>
          <w:lang w:val="en-US"/>
        </w:rPr>
        <w:t xml:space="preserve">please </w:t>
      </w:r>
      <w:r>
        <w:rPr>
          <w:rFonts w:ascii="Verdana" w:hAnsi="Verdana"/>
          <w:lang w:val="en-US"/>
        </w:rPr>
        <w:t>see BV145</w:t>
      </w:r>
      <w:r w:rsidR="002F0628">
        <w:rPr>
          <w:rFonts w:ascii="Verdana" w:hAnsi="Verdana"/>
          <w:lang w:val="en-US"/>
        </w:rPr>
        <w:t xml:space="preserve"> of the list of validations</w:t>
      </w:r>
      <w:r>
        <w:rPr>
          <w:rFonts w:ascii="Verdana" w:hAnsi="Verdana"/>
          <w:lang w:val="en-US"/>
        </w:rPr>
        <w:t xml:space="preserve">). </w:t>
      </w:r>
    </w:p>
    <w:p w:rsidR="004669B9" w:rsidRDefault="004669B9" w:rsidP="00FF38B7">
      <w:pPr>
        <w:pStyle w:val="ListParagraph"/>
        <w:ind w:left="709"/>
        <w:jc w:val="both"/>
        <w:rPr>
          <w:rFonts w:ascii="Verdana" w:hAnsi="Verdana"/>
          <w:lang w:val="en-US"/>
        </w:rPr>
      </w:pPr>
    </w:p>
    <w:p w:rsidR="000E77F2" w:rsidRDefault="000E77F2" w:rsidP="00FF38B7">
      <w:pPr>
        <w:pStyle w:val="ListParagraph"/>
        <w:numPr>
          <w:ilvl w:val="0"/>
          <w:numId w:val="9"/>
        </w:numPr>
        <w:ind w:left="709" w:hanging="709"/>
        <w:jc w:val="both"/>
        <w:rPr>
          <w:rFonts w:ascii="Verdana" w:hAnsi="Verdana"/>
          <w:lang w:val="en-US"/>
        </w:rPr>
      </w:pPr>
      <w:r>
        <w:rPr>
          <w:rFonts w:ascii="Verdana" w:hAnsi="Verdana"/>
          <w:lang w:val="en-US"/>
        </w:rPr>
        <w:t xml:space="preserve">In S.29.02.R0050 the amount of technical flows (investment expenses earned during the period and that are not reflected in the closing best estimate) should be reported. They would normally be reported in S.29.03.R0330 but this cell explicitly excluded the amount on investment expenses.  </w:t>
      </w:r>
    </w:p>
    <w:p w:rsidR="00BB0CA0" w:rsidRPr="007853BA" w:rsidRDefault="00BB0CA0" w:rsidP="00BB0CA0">
      <w:pPr>
        <w:pStyle w:val="Heading1"/>
        <w:rPr>
          <w:rFonts w:ascii="Verdana" w:hAnsi="Verdana"/>
          <w:sz w:val="22"/>
          <w:lang w:val="en-US"/>
        </w:rPr>
      </w:pPr>
      <w:r w:rsidRPr="007853BA">
        <w:rPr>
          <w:rFonts w:ascii="Verdana" w:hAnsi="Verdana"/>
          <w:sz w:val="22"/>
          <w:lang w:val="en-US"/>
        </w:rPr>
        <w:t>Q</w:t>
      </w:r>
      <w:r w:rsidR="006B1C48">
        <w:rPr>
          <w:rFonts w:ascii="Verdana" w:hAnsi="Verdana"/>
          <w:sz w:val="22"/>
          <w:lang w:val="en-US"/>
        </w:rPr>
        <w:t>uestions</w:t>
      </w:r>
      <w:r w:rsidRPr="007853BA">
        <w:rPr>
          <w:rFonts w:ascii="Verdana" w:hAnsi="Verdana"/>
          <w:sz w:val="22"/>
          <w:lang w:val="en-US"/>
        </w:rPr>
        <w:t xml:space="preserve"> on S.29.0</w:t>
      </w:r>
      <w:r>
        <w:rPr>
          <w:rFonts w:ascii="Verdana" w:hAnsi="Verdana"/>
          <w:sz w:val="22"/>
          <w:lang w:val="en-US"/>
        </w:rPr>
        <w:t>2</w:t>
      </w:r>
      <w:r w:rsidRPr="007853BA">
        <w:rPr>
          <w:rFonts w:ascii="Verdana" w:hAnsi="Verdana"/>
          <w:sz w:val="22"/>
          <w:lang w:val="en-US"/>
        </w:rPr>
        <w:t xml:space="preserve"> - Excess of Assets over Liabilities - explained by </w:t>
      </w:r>
      <w:r>
        <w:rPr>
          <w:rFonts w:ascii="Verdana" w:hAnsi="Verdana"/>
          <w:sz w:val="22"/>
          <w:lang w:val="en-US"/>
        </w:rPr>
        <w:t>investments</w:t>
      </w:r>
      <w:r w:rsidR="00CB4E26">
        <w:rPr>
          <w:rStyle w:val="FootnoteReference"/>
          <w:rFonts w:ascii="Verdana" w:hAnsi="Verdana"/>
          <w:sz w:val="22"/>
          <w:lang w:val="en-US"/>
        </w:rPr>
        <w:footnoteReference w:id="4"/>
      </w:r>
    </w:p>
    <w:p w:rsidR="004669B9" w:rsidRDefault="004669B9" w:rsidP="00FF38B7">
      <w:pPr>
        <w:jc w:val="both"/>
        <w:rPr>
          <w:rFonts w:ascii="Verdana" w:hAnsi="Verdana"/>
          <w:lang w:val="en-US"/>
        </w:rPr>
      </w:pPr>
    </w:p>
    <w:p w:rsidR="00BB0CA0" w:rsidRDefault="00BB0CA0" w:rsidP="00BB0CA0">
      <w:pPr>
        <w:pBdr>
          <w:top w:val="single" w:sz="4" w:space="1" w:color="auto"/>
          <w:left w:val="single" w:sz="4" w:space="4" w:color="auto"/>
          <w:bottom w:val="single" w:sz="4" w:space="1" w:color="auto"/>
          <w:right w:val="single" w:sz="4" w:space="4" w:color="auto"/>
        </w:pBdr>
        <w:jc w:val="both"/>
        <w:rPr>
          <w:rFonts w:ascii="Verdana" w:hAnsi="Verdana"/>
          <w:b/>
          <w:lang w:val="en-US"/>
        </w:rPr>
      </w:pPr>
      <w:r>
        <w:rPr>
          <w:rFonts w:ascii="Verdana" w:hAnsi="Verdana"/>
          <w:b/>
          <w:lang w:val="en-US"/>
        </w:rPr>
        <w:t>Q</w:t>
      </w:r>
      <w:r w:rsidR="003B0290">
        <w:rPr>
          <w:rFonts w:ascii="Verdana" w:hAnsi="Verdana"/>
          <w:b/>
          <w:lang w:val="en-US"/>
        </w:rPr>
        <w:t>&amp;A</w:t>
      </w:r>
      <w:r w:rsidR="00B56F8D">
        <w:rPr>
          <w:rFonts w:ascii="Verdana" w:hAnsi="Verdana"/>
          <w:b/>
          <w:lang w:val="en-US"/>
        </w:rPr>
        <w:t xml:space="preserve"> </w:t>
      </w:r>
      <w:r w:rsidR="003B0290">
        <w:rPr>
          <w:rFonts w:ascii="Verdana" w:hAnsi="Verdana"/>
          <w:b/>
          <w:lang w:val="en-US"/>
        </w:rPr>
        <w:t>1143</w:t>
      </w:r>
      <w:r>
        <w:rPr>
          <w:rFonts w:ascii="Verdana" w:hAnsi="Verdana"/>
          <w:b/>
          <w:lang w:val="en-US"/>
        </w:rPr>
        <w:t>:</w:t>
      </w:r>
    </w:p>
    <w:p w:rsidR="00C2366C" w:rsidRDefault="00BB0CA0" w:rsidP="00FF38B7">
      <w:pPr>
        <w:pBdr>
          <w:top w:val="single" w:sz="4" w:space="1" w:color="auto"/>
          <w:left w:val="single" w:sz="4" w:space="4" w:color="auto"/>
          <w:bottom w:val="single" w:sz="4" w:space="1" w:color="auto"/>
          <w:right w:val="single" w:sz="4" w:space="4" w:color="auto"/>
        </w:pBdr>
        <w:jc w:val="both"/>
        <w:rPr>
          <w:rFonts w:ascii="Verdana" w:hAnsi="Verdana"/>
          <w:sz w:val="20"/>
          <w:szCs w:val="20"/>
        </w:rPr>
      </w:pPr>
      <w:r w:rsidRPr="005412A6">
        <w:rPr>
          <w:rFonts w:ascii="Verdana" w:hAnsi="Verdana"/>
        </w:rPr>
        <w:t>S.29.02 ‘Analysis of changes due to investments and financial liabilities’ QRT covers income, gains, and losses on investments other than assets held for unit-linked and index-linked funds. The S.29.02 log file states “With regards to assets held for unit linked and index linked funds, the adjustment on basic own funds related to valuation is taken into account in template S.29.03.” However, according to the relevant log file, C0090/R0300 in S.29.03 ‘Analysis of changes due to technical provisions’ appears to be asking for a balance sheet movement between the opening and closing investments index-linked and unit-</w:t>
      </w:r>
      <w:r w:rsidRPr="00FF38B7">
        <w:rPr>
          <w:rFonts w:ascii="Verdana" w:hAnsi="Verdana"/>
        </w:rPr>
        <w:t>link</w:t>
      </w:r>
      <w:r w:rsidR="003711B9">
        <w:rPr>
          <w:rFonts w:ascii="Verdana" w:hAnsi="Verdana"/>
        </w:rPr>
        <w:t>ed</w:t>
      </w:r>
      <w:r w:rsidRPr="00FF38B7">
        <w:rPr>
          <w:rFonts w:ascii="Verdana" w:hAnsi="Verdana"/>
        </w:rPr>
        <w:t xml:space="preserve"> funds. The movement in the investments balance (S.29.03) is not the same as the valuation movement (income, gains and losses) referred to in the S.29.02 log file and this causes a difference. We have included this difference in C0030/R0250 in S.29.01 ‘ Variation analysis – Analysis of variation of excess of assets over liabilities’ as we are unsure where else to record it.</w:t>
      </w:r>
    </w:p>
    <w:p w:rsidR="00BB0CA0" w:rsidRPr="00FF38B7" w:rsidRDefault="00BB0CA0" w:rsidP="00FF38B7">
      <w:pPr>
        <w:pBdr>
          <w:top w:val="single" w:sz="4" w:space="1" w:color="auto"/>
          <w:left w:val="single" w:sz="4" w:space="4" w:color="auto"/>
          <w:bottom w:val="single" w:sz="4" w:space="1" w:color="auto"/>
          <w:right w:val="single" w:sz="4" w:space="4" w:color="auto"/>
        </w:pBdr>
        <w:jc w:val="both"/>
        <w:rPr>
          <w:rFonts w:ascii="Verdana" w:hAnsi="Verdana"/>
        </w:rPr>
      </w:pPr>
      <w:r w:rsidRPr="00FF38B7">
        <w:rPr>
          <w:rFonts w:ascii="Verdana" w:hAnsi="Verdana"/>
        </w:rPr>
        <w:br/>
        <w:t>Please can you advise if our interpretation of S.29.02 and S.29.03 templates is correct and if so, please can you confirm how we should report the difference in the valuation of investments in linked funds.</w:t>
      </w:r>
    </w:p>
    <w:p w:rsidR="00BD43C3" w:rsidRPr="00FF38B7" w:rsidRDefault="00290F63" w:rsidP="00FF38B7">
      <w:pPr>
        <w:pBdr>
          <w:top w:val="single" w:sz="4" w:space="1" w:color="auto"/>
          <w:left w:val="single" w:sz="4" w:space="4" w:color="auto"/>
          <w:bottom w:val="single" w:sz="4" w:space="1" w:color="auto"/>
          <w:right w:val="single" w:sz="4" w:space="4" w:color="auto"/>
        </w:pBdr>
        <w:jc w:val="both"/>
        <w:rPr>
          <w:rFonts w:ascii="Verdana" w:hAnsi="Verdana"/>
        </w:rPr>
      </w:pPr>
      <w:r w:rsidRPr="00FF38B7">
        <w:rPr>
          <w:rFonts w:ascii="Verdana" w:hAnsi="Verdana"/>
          <w:b/>
        </w:rPr>
        <w:t>Answer:</w:t>
      </w:r>
      <w:r w:rsidRPr="00FF38B7">
        <w:rPr>
          <w:rFonts w:ascii="Verdana" w:hAnsi="Verdana"/>
        </w:rPr>
        <w:t xml:space="preserve"> </w:t>
      </w:r>
    </w:p>
    <w:p w:rsidR="00290F63" w:rsidRPr="00FF38B7" w:rsidRDefault="00BD43C3" w:rsidP="00FF38B7">
      <w:pPr>
        <w:pBdr>
          <w:top w:val="single" w:sz="4" w:space="1" w:color="auto"/>
          <w:left w:val="single" w:sz="4" w:space="4" w:color="auto"/>
          <w:bottom w:val="single" w:sz="4" w:space="1" w:color="auto"/>
          <w:right w:val="single" w:sz="4" w:space="4" w:color="auto"/>
        </w:pBdr>
        <w:jc w:val="both"/>
        <w:rPr>
          <w:rFonts w:ascii="Verdana" w:hAnsi="Verdana"/>
        </w:rPr>
      </w:pPr>
      <w:r w:rsidRPr="00FF38B7">
        <w:rPr>
          <w:rFonts w:ascii="Verdana" w:hAnsi="Verdana"/>
        </w:rPr>
        <w:t>P</w:t>
      </w:r>
      <w:r w:rsidR="00290F63" w:rsidRPr="00FF38B7">
        <w:rPr>
          <w:rFonts w:ascii="Verdana" w:hAnsi="Verdana"/>
        </w:rPr>
        <w:t>lease see Q&amp;A</w:t>
      </w:r>
      <w:r w:rsidR="00A63A7D">
        <w:rPr>
          <w:rFonts w:ascii="Verdana" w:hAnsi="Verdana"/>
        </w:rPr>
        <w:t xml:space="preserve">s on </w:t>
      </w:r>
      <w:r w:rsidR="002A3D11" w:rsidRPr="00BA2A0B">
        <w:rPr>
          <w:rFonts w:ascii="Verdana" w:hAnsi="Verdana"/>
          <w:lang w:val="en-US"/>
        </w:rPr>
        <w:t xml:space="preserve">index-linked </w:t>
      </w:r>
      <w:r w:rsidR="002A3D11">
        <w:rPr>
          <w:rFonts w:ascii="Verdana" w:hAnsi="Verdana"/>
          <w:lang w:val="en-US"/>
        </w:rPr>
        <w:t xml:space="preserve">and unit-linked </w:t>
      </w:r>
      <w:r w:rsidR="00A63A7D" w:rsidRPr="00A64D79">
        <w:rPr>
          <w:rFonts w:ascii="Verdana" w:hAnsi="Verdana"/>
        </w:rPr>
        <w:t xml:space="preserve">business </w:t>
      </w:r>
      <w:r w:rsidR="00290F63" w:rsidRPr="00FF38B7">
        <w:rPr>
          <w:rFonts w:ascii="Verdana" w:hAnsi="Verdana"/>
        </w:rPr>
        <w:t>under S.29.01.</w:t>
      </w:r>
    </w:p>
    <w:p w:rsidR="00290F63" w:rsidRPr="00FF38B7" w:rsidRDefault="00290F63" w:rsidP="00FF38B7">
      <w:pPr>
        <w:pBdr>
          <w:top w:val="single" w:sz="4" w:space="1" w:color="auto"/>
          <w:left w:val="single" w:sz="4" w:space="4" w:color="auto"/>
          <w:bottom w:val="single" w:sz="4" w:space="1" w:color="auto"/>
          <w:right w:val="single" w:sz="4" w:space="4" w:color="auto"/>
        </w:pBdr>
        <w:jc w:val="both"/>
        <w:rPr>
          <w:rFonts w:ascii="Verdana" w:hAnsi="Verdana"/>
          <w:b/>
        </w:rPr>
      </w:pPr>
      <w:r w:rsidRPr="00FF38B7">
        <w:rPr>
          <w:rFonts w:ascii="Verdana" w:hAnsi="Verdana"/>
          <w:b/>
        </w:rPr>
        <w:t>Question:</w:t>
      </w:r>
    </w:p>
    <w:p w:rsidR="00BD43C3" w:rsidRPr="00FF38B7" w:rsidRDefault="00BD43C3" w:rsidP="00FF38B7">
      <w:pPr>
        <w:pBdr>
          <w:top w:val="single" w:sz="4" w:space="1" w:color="auto"/>
          <w:left w:val="single" w:sz="4" w:space="4" w:color="auto"/>
          <w:bottom w:val="single" w:sz="4" w:space="1" w:color="auto"/>
          <w:right w:val="single" w:sz="4" w:space="4" w:color="auto"/>
        </w:pBdr>
        <w:jc w:val="both"/>
        <w:rPr>
          <w:rFonts w:ascii="Verdana" w:hAnsi="Verdana"/>
          <w:lang w:val="en-GB"/>
        </w:rPr>
      </w:pPr>
      <w:r w:rsidRPr="00FF38B7">
        <w:rPr>
          <w:rFonts w:ascii="Verdana" w:hAnsi="Verdana"/>
          <w:lang w:val="en-GB"/>
        </w:rPr>
        <w:t>The cells “Dividends” and “Interests” refer to earned data but earned data is not consistent with the economic perspective and the cash flow approach followed in the template. Insurers will look into their financial statements to obtain the information required leading to a mix of measurement basis in the template</w:t>
      </w:r>
    </w:p>
    <w:p w:rsidR="00BD43C3" w:rsidRPr="00FF38B7" w:rsidRDefault="00BD43C3" w:rsidP="00BD43C3">
      <w:pPr>
        <w:pBdr>
          <w:top w:val="single" w:sz="4" w:space="1" w:color="auto"/>
          <w:left w:val="single" w:sz="4" w:space="4" w:color="auto"/>
          <w:bottom w:val="single" w:sz="4" w:space="1" w:color="auto"/>
          <w:right w:val="single" w:sz="4" w:space="4" w:color="auto"/>
        </w:pBdr>
        <w:jc w:val="both"/>
        <w:rPr>
          <w:rFonts w:ascii="Verdana" w:hAnsi="Verdana"/>
        </w:rPr>
      </w:pPr>
      <w:r w:rsidRPr="00D97DB3">
        <w:rPr>
          <w:rFonts w:ascii="Verdana" w:hAnsi="Verdana"/>
          <w:b/>
          <w:sz w:val="20"/>
        </w:rPr>
        <w:t>Answer:</w:t>
      </w:r>
      <w:r w:rsidRPr="00FF38B7">
        <w:rPr>
          <w:rFonts w:ascii="Verdana" w:hAnsi="Verdana"/>
        </w:rPr>
        <w:t xml:space="preserve"> </w:t>
      </w:r>
    </w:p>
    <w:p w:rsidR="00290F63" w:rsidRPr="00FF38B7" w:rsidRDefault="00BD43C3" w:rsidP="00FF38B7">
      <w:pPr>
        <w:pBdr>
          <w:top w:val="single" w:sz="4" w:space="1" w:color="auto"/>
          <w:left w:val="single" w:sz="4" w:space="4" w:color="auto"/>
          <w:bottom w:val="single" w:sz="4" w:space="1" w:color="auto"/>
          <w:right w:val="single" w:sz="4" w:space="4" w:color="auto"/>
        </w:pBdr>
        <w:jc w:val="both"/>
        <w:rPr>
          <w:rFonts w:ascii="Verdana" w:hAnsi="Verdana"/>
          <w:lang w:val="en-GB"/>
        </w:rPr>
      </w:pPr>
      <w:r w:rsidRPr="00FF38B7">
        <w:rPr>
          <w:rFonts w:ascii="Verdana" w:hAnsi="Verdana"/>
        </w:rPr>
        <w:t xml:space="preserve">It </w:t>
      </w:r>
      <w:r w:rsidRPr="00FF38B7">
        <w:rPr>
          <w:rFonts w:ascii="Verdana" w:hAnsi="Verdana"/>
          <w:lang w:val="en-GB"/>
        </w:rPr>
        <w:t>is correct that the valuation approach is different but to avoid extra re</w:t>
      </w:r>
      <w:r w:rsidR="003711B9" w:rsidRPr="00FF38B7">
        <w:rPr>
          <w:rFonts w:ascii="Verdana" w:hAnsi="Verdana"/>
          <w:lang w:val="en-GB"/>
        </w:rPr>
        <w:noBreakHyphen/>
      </w:r>
      <w:r w:rsidRPr="00FF38B7">
        <w:rPr>
          <w:rFonts w:ascii="Verdana" w:hAnsi="Verdana"/>
          <w:lang w:val="en-GB"/>
        </w:rPr>
        <w:t xml:space="preserve">calculation burden to the undertakings </w:t>
      </w:r>
      <w:r w:rsidR="003711B9" w:rsidRPr="00FF38B7">
        <w:rPr>
          <w:rFonts w:ascii="Verdana" w:hAnsi="Verdana"/>
          <w:lang w:val="en-GB"/>
        </w:rPr>
        <w:t>the</w:t>
      </w:r>
      <w:r w:rsidRPr="00FF38B7">
        <w:rPr>
          <w:rFonts w:ascii="Verdana" w:hAnsi="Verdana"/>
          <w:lang w:val="en-GB"/>
        </w:rPr>
        <w:t xml:space="preserve"> amounts as reported in S.09.01 may be used in S.29.02</w:t>
      </w:r>
      <w:r w:rsidR="00123B2D" w:rsidRPr="00FF38B7">
        <w:rPr>
          <w:rFonts w:ascii="Verdana" w:hAnsi="Verdana"/>
          <w:lang w:val="en-GB"/>
        </w:rPr>
        <w:t xml:space="preserve">, </w:t>
      </w:r>
      <w:r w:rsidRPr="00FF38B7">
        <w:rPr>
          <w:rFonts w:ascii="Verdana" w:hAnsi="Verdana"/>
          <w:lang w:val="en-GB"/>
        </w:rPr>
        <w:t xml:space="preserve"> considering </w:t>
      </w:r>
      <w:r w:rsidR="00123B2D" w:rsidRPr="00FF38B7">
        <w:rPr>
          <w:rFonts w:ascii="Verdana" w:hAnsi="Verdana"/>
          <w:lang w:val="en-GB"/>
        </w:rPr>
        <w:t>however</w:t>
      </w:r>
      <w:r w:rsidR="005412A6" w:rsidRPr="00FF38B7">
        <w:rPr>
          <w:rFonts w:ascii="Verdana" w:hAnsi="Verdana"/>
          <w:lang w:val="en-GB"/>
        </w:rPr>
        <w:t xml:space="preserve"> </w:t>
      </w:r>
      <w:r w:rsidRPr="00FF38B7">
        <w:rPr>
          <w:rFonts w:ascii="Verdana" w:hAnsi="Verdana"/>
          <w:lang w:val="en-GB"/>
        </w:rPr>
        <w:t xml:space="preserve">only </w:t>
      </w:r>
      <w:r w:rsidR="003711B9" w:rsidRPr="00FF38B7">
        <w:rPr>
          <w:rFonts w:ascii="Verdana" w:hAnsi="Verdana"/>
          <w:lang w:val="en-GB"/>
        </w:rPr>
        <w:t>the</w:t>
      </w:r>
      <w:r w:rsidRPr="00FF38B7">
        <w:rPr>
          <w:rFonts w:ascii="Verdana" w:hAnsi="Verdana"/>
          <w:lang w:val="en-GB"/>
        </w:rPr>
        <w:t xml:space="preserve"> differences in scope. </w:t>
      </w:r>
    </w:p>
    <w:p w:rsidR="00626553" w:rsidRPr="00FF38B7" w:rsidRDefault="00626553" w:rsidP="00FF38B7">
      <w:pPr>
        <w:pBdr>
          <w:top w:val="single" w:sz="4" w:space="1" w:color="auto"/>
          <w:left w:val="single" w:sz="4" w:space="4" w:color="auto"/>
          <w:bottom w:val="single" w:sz="4" w:space="1" w:color="auto"/>
          <w:right w:val="single" w:sz="4" w:space="4" w:color="auto"/>
        </w:pBdr>
        <w:jc w:val="both"/>
        <w:rPr>
          <w:rFonts w:ascii="Verdana" w:hAnsi="Verdana"/>
        </w:rPr>
      </w:pPr>
    </w:p>
    <w:p w:rsidR="004F6537" w:rsidRPr="007853BA" w:rsidRDefault="004F6537" w:rsidP="00370001">
      <w:pPr>
        <w:pStyle w:val="Heading1"/>
        <w:rPr>
          <w:rFonts w:ascii="Verdana" w:hAnsi="Verdana"/>
          <w:b w:val="0"/>
          <w:lang w:val="en-US"/>
        </w:rPr>
      </w:pPr>
      <w:r w:rsidRPr="007853BA">
        <w:rPr>
          <w:rFonts w:ascii="Verdana" w:hAnsi="Verdana"/>
          <w:sz w:val="22"/>
          <w:lang w:val="en-US"/>
        </w:rPr>
        <w:t>S.29.03 - Excess of Assets over Liabilities - explained by technical provisions</w:t>
      </w:r>
    </w:p>
    <w:p w:rsidR="004B567D" w:rsidRDefault="004B567D" w:rsidP="00370001">
      <w:pPr>
        <w:pStyle w:val="ListParagraph"/>
        <w:ind w:left="709"/>
        <w:jc w:val="both"/>
        <w:rPr>
          <w:rFonts w:ascii="Verdana" w:hAnsi="Verdana"/>
          <w:lang w:val="en-US"/>
        </w:rPr>
      </w:pPr>
    </w:p>
    <w:p w:rsidR="00A26170" w:rsidRPr="007853BA" w:rsidRDefault="00A26170" w:rsidP="00370001">
      <w:pPr>
        <w:pStyle w:val="ListParagraph"/>
        <w:numPr>
          <w:ilvl w:val="0"/>
          <w:numId w:val="9"/>
        </w:numPr>
        <w:ind w:left="709" w:hanging="709"/>
        <w:jc w:val="both"/>
        <w:rPr>
          <w:rFonts w:ascii="Verdana" w:hAnsi="Verdana"/>
          <w:lang w:val="en-US"/>
        </w:rPr>
      </w:pPr>
      <w:r w:rsidRPr="007853BA">
        <w:rPr>
          <w:rFonts w:ascii="Verdana" w:hAnsi="Verdana"/>
          <w:lang w:val="en-US"/>
        </w:rPr>
        <w:t xml:space="preserve">Template S.29.03 details the impact of </w:t>
      </w:r>
      <w:r w:rsidR="00D670E7">
        <w:rPr>
          <w:rFonts w:ascii="Verdana" w:hAnsi="Verdana"/>
          <w:lang w:val="en-US"/>
        </w:rPr>
        <w:t xml:space="preserve">variations of </w:t>
      </w:r>
      <w:r w:rsidRPr="007853BA">
        <w:rPr>
          <w:rFonts w:ascii="Verdana" w:hAnsi="Verdana"/>
          <w:lang w:val="en-US"/>
        </w:rPr>
        <w:t>technical provisi</w:t>
      </w:r>
      <w:r w:rsidRPr="007140FC">
        <w:rPr>
          <w:rFonts w:ascii="Verdana" w:hAnsi="Verdana"/>
          <w:lang w:val="en-US"/>
        </w:rPr>
        <w:t>ons</w:t>
      </w:r>
      <w:r w:rsidR="00D670E7">
        <w:rPr>
          <w:rFonts w:ascii="Verdana" w:hAnsi="Verdana"/>
          <w:lang w:val="en-US"/>
        </w:rPr>
        <w:t xml:space="preserve"> on the EoAoL</w:t>
      </w:r>
      <w:r w:rsidR="00B75D95" w:rsidRPr="007140FC">
        <w:rPr>
          <w:rFonts w:ascii="Verdana" w:hAnsi="Verdana"/>
          <w:lang w:val="en-US"/>
        </w:rPr>
        <w:t>. The link between t</w:t>
      </w:r>
      <w:r w:rsidR="003542D8" w:rsidRPr="007140FC">
        <w:rPr>
          <w:rFonts w:ascii="Verdana" w:hAnsi="Verdana"/>
          <w:lang w:val="en-US"/>
        </w:rPr>
        <w:t>his template and S.29.01</w:t>
      </w:r>
      <w:r w:rsidR="00B75D95" w:rsidRPr="007140FC">
        <w:rPr>
          <w:rFonts w:ascii="Verdana" w:hAnsi="Verdana"/>
          <w:lang w:val="en-US"/>
        </w:rPr>
        <w:t xml:space="preserve"> is that the sum of </w:t>
      </w:r>
      <w:r w:rsidR="00AA4F21" w:rsidRPr="007140FC">
        <w:rPr>
          <w:rFonts w:ascii="Verdana" w:hAnsi="Verdana"/>
          <w:lang w:val="en-US"/>
        </w:rPr>
        <w:t>S.29.03.</w:t>
      </w:r>
      <w:r w:rsidR="00B75D95" w:rsidRPr="007140FC">
        <w:rPr>
          <w:rFonts w:ascii="Verdana" w:hAnsi="Verdana"/>
          <w:lang w:val="en-US"/>
        </w:rPr>
        <w:t>R0360</w:t>
      </w:r>
      <w:r w:rsidR="00AA4F21" w:rsidRPr="007140FC">
        <w:rPr>
          <w:rFonts w:ascii="Verdana" w:hAnsi="Verdana"/>
          <w:lang w:val="en-US"/>
        </w:rPr>
        <w:t>/C0120</w:t>
      </w:r>
      <w:r w:rsidR="00094C25">
        <w:rPr>
          <w:rFonts w:ascii="Verdana" w:hAnsi="Verdana"/>
          <w:lang w:val="en-US"/>
        </w:rPr>
        <w:t>-</w:t>
      </w:r>
      <w:r w:rsidR="00AA4F21" w:rsidRPr="007140FC">
        <w:rPr>
          <w:rFonts w:ascii="Verdana" w:hAnsi="Verdana"/>
          <w:lang w:val="en-US"/>
        </w:rPr>
        <w:t xml:space="preserve">C0130 and </w:t>
      </w:r>
      <w:r w:rsidR="00B75D95" w:rsidRPr="007140FC">
        <w:rPr>
          <w:rFonts w:ascii="Verdana" w:hAnsi="Verdana"/>
          <w:lang w:val="en-US"/>
        </w:rPr>
        <w:t>R0370/C0120</w:t>
      </w:r>
      <w:r w:rsidR="00094C25">
        <w:rPr>
          <w:rFonts w:ascii="Verdana" w:hAnsi="Verdana"/>
          <w:lang w:val="en-US"/>
        </w:rPr>
        <w:t>-</w:t>
      </w:r>
      <w:r w:rsidR="00B75D95" w:rsidRPr="007140FC">
        <w:rPr>
          <w:rFonts w:ascii="Verdana" w:hAnsi="Verdana"/>
          <w:lang w:val="en-US"/>
        </w:rPr>
        <w:t xml:space="preserve">C0130 is equal to </w:t>
      </w:r>
      <w:r w:rsidR="00AA4F21" w:rsidRPr="007140FC">
        <w:rPr>
          <w:rFonts w:ascii="Verdana" w:hAnsi="Verdana"/>
          <w:lang w:val="en-US"/>
        </w:rPr>
        <w:t xml:space="preserve">S.29.01.R0200/C0030, </w:t>
      </w:r>
      <w:r w:rsidR="00B75D95" w:rsidRPr="007140FC">
        <w:rPr>
          <w:rFonts w:ascii="Verdana" w:hAnsi="Verdana"/>
          <w:lang w:val="en-US"/>
        </w:rPr>
        <w:t xml:space="preserve">variation of </w:t>
      </w:r>
      <w:r w:rsidR="00104491">
        <w:rPr>
          <w:rFonts w:ascii="Verdana" w:hAnsi="Verdana"/>
          <w:lang w:val="en-US"/>
        </w:rPr>
        <w:t>EoAoL</w:t>
      </w:r>
      <w:r w:rsidR="00B75D95" w:rsidRPr="007140FC">
        <w:rPr>
          <w:rFonts w:ascii="Verdana" w:hAnsi="Verdana"/>
          <w:lang w:val="en-US"/>
        </w:rPr>
        <w:t xml:space="preserve"> due to technical provisions</w:t>
      </w:r>
      <w:r w:rsidR="00786BD6" w:rsidRPr="007140FC">
        <w:rPr>
          <w:rFonts w:ascii="Verdana" w:hAnsi="Verdana"/>
          <w:lang w:val="en-US"/>
        </w:rPr>
        <w:t>.</w:t>
      </w:r>
      <w:r w:rsidR="004F5581">
        <w:rPr>
          <w:rFonts w:ascii="Verdana" w:hAnsi="Verdana"/>
          <w:lang w:val="en-US"/>
        </w:rPr>
        <w:t xml:space="preserve"> </w:t>
      </w:r>
    </w:p>
    <w:p w:rsidR="00DD6D53" w:rsidRDefault="00DD6D53" w:rsidP="00AE1091">
      <w:pPr>
        <w:pStyle w:val="ListParagraph"/>
        <w:ind w:left="709"/>
        <w:jc w:val="both"/>
        <w:rPr>
          <w:rFonts w:ascii="Verdana" w:hAnsi="Verdana"/>
          <w:lang w:val="en-US"/>
        </w:rPr>
      </w:pPr>
    </w:p>
    <w:p w:rsidR="00DD6D53" w:rsidRPr="007853BA" w:rsidRDefault="00DD6D53" w:rsidP="00370001">
      <w:pPr>
        <w:pStyle w:val="ListParagraph"/>
        <w:numPr>
          <w:ilvl w:val="0"/>
          <w:numId w:val="9"/>
        </w:numPr>
        <w:ind w:left="709" w:hanging="709"/>
        <w:jc w:val="both"/>
        <w:rPr>
          <w:rFonts w:ascii="Verdana" w:hAnsi="Verdana"/>
          <w:lang w:val="en-US"/>
        </w:rPr>
      </w:pPr>
      <w:r w:rsidRPr="007853BA">
        <w:rPr>
          <w:rFonts w:ascii="Verdana" w:hAnsi="Verdana"/>
          <w:lang w:val="en-US"/>
        </w:rPr>
        <w:t xml:space="preserve">The </w:t>
      </w:r>
      <w:r w:rsidRPr="007140FC">
        <w:rPr>
          <w:rFonts w:ascii="Verdana" w:hAnsi="Verdana"/>
          <w:lang w:val="en-US"/>
        </w:rPr>
        <w:t xml:space="preserve">variation of </w:t>
      </w:r>
      <w:r w:rsidR="00104491">
        <w:rPr>
          <w:rFonts w:ascii="Verdana" w:hAnsi="Verdana"/>
          <w:lang w:val="en-US"/>
        </w:rPr>
        <w:t>EoAoL</w:t>
      </w:r>
      <w:r w:rsidRPr="007140FC">
        <w:rPr>
          <w:rFonts w:ascii="Verdana" w:hAnsi="Verdana"/>
          <w:lang w:val="en-US"/>
        </w:rPr>
        <w:t xml:space="preserve"> due to technical provisions does not correspond to the variation </w:t>
      </w:r>
      <w:r w:rsidR="008C6B68">
        <w:rPr>
          <w:rFonts w:ascii="Verdana" w:hAnsi="Verdana"/>
          <w:lang w:val="en-US"/>
        </w:rPr>
        <w:t xml:space="preserve">between two years </w:t>
      </w:r>
      <w:r w:rsidRPr="007140FC">
        <w:rPr>
          <w:rFonts w:ascii="Verdana" w:hAnsi="Verdana"/>
          <w:lang w:val="en-US"/>
        </w:rPr>
        <w:t xml:space="preserve">of the amount of technical provisions as shown in the balance-sheet. The contribution to the </w:t>
      </w:r>
      <w:r w:rsidR="00104491">
        <w:rPr>
          <w:rFonts w:ascii="Verdana" w:hAnsi="Verdana"/>
          <w:lang w:val="en-US"/>
        </w:rPr>
        <w:t>EoAoL</w:t>
      </w:r>
      <w:r w:rsidRPr="007140FC">
        <w:rPr>
          <w:rFonts w:ascii="Verdana" w:hAnsi="Verdana"/>
          <w:lang w:val="en-US"/>
        </w:rPr>
        <w:t xml:space="preserve"> due to technical provisions is the variation of the best estimate considered together with the technical flows (premiums, claims and expenses</w:t>
      </w:r>
      <w:r w:rsidR="004D68E2">
        <w:rPr>
          <w:rFonts w:ascii="Verdana" w:hAnsi="Verdana"/>
          <w:lang w:val="en-US"/>
        </w:rPr>
        <w:t xml:space="preserve"> which are presented in rows R0310 to R0350</w:t>
      </w:r>
      <w:r w:rsidRPr="007140FC">
        <w:rPr>
          <w:rFonts w:ascii="Verdana" w:hAnsi="Verdana"/>
          <w:lang w:val="en-US"/>
        </w:rPr>
        <w:t xml:space="preserve">). </w:t>
      </w:r>
    </w:p>
    <w:p w:rsidR="00EA5D38" w:rsidRDefault="00EA5D38" w:rsidP="00370001">
      <w:pPr>
        <w:pStyle w:val="ListParagraph"/>
        <w:ind w:left="709"/>
        <w:jc w:val="both"/>
        <w:rPr>
          <w:rFonts w:ascii="Verdana" w:hAnsi="Verdana"/>
          <w:lang w:val="en-US"/>
        </w:rPr>
      </w:pPr>
    </w:p>
    <w:p w:rsidR="00EA5D38" w:rsidRPr="00BB153B" w:rsidRDefault="00EA5D38" w:rsidP="00370001">
      <w:pPr>
        <w:pStyle w:val="ListParagraph"/>
        <w:numPr>
          <w:ilvl w:val="0"/>
          <w:numId w:val="9"/>
        </w:numPr>
        <w:ind w:left="709" w:hanging="709"/>
        <w:jc w:val="both"/>
        <w:rPr>
          <w:rFonts w:ascii="Verdana" w:hAnsi="Verdana"/>
          <w:lang w:val="en-US"/>
        </w:rPr>
      </w:pPr>
      <w:r w:rsidRPr="008C6B68">
        <w:rPr>
          <w:rFonts w:ascii="Verdana" w:hAnsi="Verdana"/>
          <w:lang w:val="en-US"/>
        </w:rPr>
        <w:t xml:space="preserve">The </w:t>
      </w:r>
      <w:r w:rsidR="00AE1091" w:rsidRPr="008C6B68">
        <w:rPr>
          <w:rFonts w:ascii="Verdana" w:hAnsi="Verdana"/>
          <w:lang w:val="en-US"/>
        </w:rPr>
        <w:t xml:space="preserve">main </w:t>
      </w:r>
      <w:r w:rsidRPr="008C6B68">
        <w:rPr>
          <w:rFonts w:ascii="Verdana" w:hAnsi="Verdana"/>
          <w:lang w:val="en-US"/>
        </w:rPr>
        <w:t xml:space="preserve">table </w:t>
      </w:r>
      <w:r w:rsidR="00AE1091" w:rsidRPr="008C6B68">
        <w:rPr>
          <w:rFonts w:ascii="Verdana" w:hAnsi="Verdana"/>
          <w:lang w:val="en-US"/>
        </w:rPr>
        <w:t xml:space="preserve">(R0010 to R0290) </w:t>
      </w:r>
      <w:r w:rsidR="00BC1E2B" w:rsidRPr="008C6B68">
        <w:rPr>
          <w:rFonts w:ascii="Verdana" w:hAnsi="Verdana"/>
          <w:lang w:val="en-US"/>
        </w:rPr>
        <w:t xml:space="preserve">reflects only amounts related to </w:t>
      </w:r>
      <w:r w:rsidR="00BC1E2B" w:rsidRPr="00FF38B7">
        <w:rPr>
          <w:rFonts w:ascii="Verdana" w:hAnsi="Verdana"/>
          <w:lang w:val="en-US"/>
        </w:rPr>
        <w:t xml:space="preserve">best estimate, i.e. it </w:t>
      </w:r>
      <w:r w:rsidR="00AE3CFB" w:rsidRPr="00FF38B7">
        <w:rPr>
          <w:rFonts w:ascii="Verdana" w:hAnsi="Verdana"/>
          <w:lang w:val="en-US"/>
        </w:rPr>
        <w:t>does not include the</w:t>
      </w:r>
      <w:r w:rsidR="002009F2" w:rsidRPr="00FF38B7">
        <w:rPr>
          <w:rFonts w:ascii="Verdana" w:hAnsi="Verdana"/>
          <w:lang w:val="en-US"/>
        </w:rPr>
        <w:t xml:space="preserve"> </w:t>
      </w:r>
      <w:r w:rsidR="00584CD0" w:rsidRPr="00FF38B7">
        <w:rPr>
          <w:rFonts w:ascii="Verdana" w:hAnsi="Verdana"/>
          <w:lang w:val="en-US"/>
        </w:rPr>
        <w:t>risk margin</w:t>
      </w:r>
      <w:r w:rsidR="00BC1E2B" w:rsidRPr="00FF38B7">
        <w:rPr>
          <w:rFonts w:ascii="Verdana" w:hAnsi="Verdana"/>
          <w:lang w:val="en-US"/>
        </w:rPr>
        <w:t xml:space="preserve">, </w:t>
      </w:r>
      <w:r w:rsidR="009A0DBB" w:rsidRPr="00FF38B7">
        <w:rPr>
          <w:rFonts w:ascii="Verdana" w:hAnsi="Verdana"/>
          <w:lang w:val="en-US"/>
        </w:rPr>
        <w:t>technical provisions calculated as a whole</w:t>
      </w:r>
      <w:r w:rsidR="00BC1E2B" w:rsidRPr="00FF38B7">
        <w:rPr>
          <w:rFonts w:ascii="Verdana" w:hAnsi="Verdana"/>
          <w:lang w:val="en-US"/>
        </w:rPr>
        <w:t xml:space="preserve"> nor the </w:t>
      </w:r>
      <w:r w:rsidR="00BC1E2B" w:rsidRPr="008C6B68">
        <w:rPr>
          <w:rFonts w:ascii="Verdana" w:hAnsi="Verdana"/>
          <w:lang w:val="en-US"/>
        </w:rPr>
        <w:t xml:space="preserve">transitional measure on </w:t>
      </w:r>
      <w:r w:rsidR="00104491">
        <w:rPr>
          <w:rFonts w:ascii="Verdana" w:hAnsi="Verdana"/>
          <w:lang w:val="en-US"/>
        </w:rPr>
        <w:t>t</w:t>
      </w:r>
      <w:r w:rsidR="00BC1E2B" w:rsidRPr="008C6B68">
        <w:rPr>
          <w:rFonts w:ascii="Verdana" w:hAnsi="Verdana"/>
          <w:lang w:val="en-US"/>
        </w:rPr>
        <w:t xml:space="preserve">echnical </w:t>
      </w:r>
      <w:r w:rsidR="00104491">
        <w:rPr>
          <w:rFonts w:ascii="Verdana" w:hAnsi="Verdana"/>
          <w:lang w:val="en-US"/>
        </w:rPr>
        <w:t>p</w:t>
      </w:r>
      <w:r w:rsidR="00BC1E2B" w:rsidRPr="008C6B68">
        <w:rPr>
          <w:rFonts w:ascii="Verdana" w:hAnsi="Verdana"/>
          <w:lang w:val="en-US"/>
        </w:rPr>
        <w:t>rovisions</w:t>
      </w:r>
      <w:r w:rsidRPr="008C6B68">
        <w:rPr>
          <w:rFonts w:ascii="Verdana" w:hAnsi="Verdana"/>
          <w:lang w:val="en-US"/>
        </w:rPr>
        <w:t xml:space="preserve">. </w:t>
      </w:r>
      <w:r w:rsidR="007E7A96" w:rsidRPr="008C6B68">
        <w:rPr>
          <w:rFonts w:ascii="Verdana" w:hAnsi="Verdana"/>
          <w:lang w:val="en-US"/>
        </w:rPr>
        <w:t>However, i</w:t>
      </w:r>
      <w:r w:rsidRPr="008C6B68">
        <w:rPr>
          <w:rFonts w:ascii="Verdana" w:hAnsi="Verdana"/>
          <w:lang w:val="en-US"/>
        </w:rPr>
        <w:t xml:space="preserve">n R0360 </w:t>
      </w:r>
      <w:r w:rsidR="00AE1091" w:rsidRPr="008C6B68">
        <w:rPr>
          <w:rFonts w:ascii="Verdana" w:hAnsi="Verdana"/>
          <w:lang w:val="en-US"/>
        </w:rPr>
        <w:t xml:space="preserve">the amounts refers to </w:t>
      </w:r>
      <w:r w:rsidR="00D41C3A" w:rsidRPr="008C6B68">
        <w:rPr>
          <w:rFonts w:ascii="Verdana" w:hAnsi="Verdana"/>
          <w:lang w:val="en-US"/>
        </w:rPr>
        <w:t xml:space="preserve">total </w:t>
      </w:r>
      <w:r w:rsidR="00AE1091" w:rsidRPr="008C6B68">
        <w:rPr>
          <w:rFonts w:ascii="Verdana" w:hAnsi="Verdana"/>
          <w:lang w:val="en-US"/>
        </w:rPr>
        <w:t xml:space="preserve">technical provisions, </w:t>
      </w:r>
      <w:r w:rsidR="000E428B" w:rsidRPr="00FF38B7">
        <w:rPr>
          <w:rFonts w:ascii="Verdana" w:hAnsi="Verdana"/>
          <w:lang w:val="en-US"/>
        </w:rPr>
        <w:t xml:space="preserve">so </w:t>
      </w:r>
      <w:r w:rsidR="00AE1091" w:rsidRPr="008C6B68">
        <w:rPr>
          <w:rFonts w:ascii="Verdana" w:hAnsi="Verdana"/>
          <w:lang w:val="en-US"/>
        </w:rPr>
        <w:t>including best estimate, risk margin</w:t>
      </w:r>
      <w:r w:rsidR="004F0CCA" w:rsidRPr="008C6B68">
        <w:rPr>
          <w:rFonts w:ascii="Verdana" w:hAnsi="Verdana"/>
          <w:lang w:val="en-US"/>
        </w:rPr>
        <w:t>,</w:t>
      </w:r>
      <w:r w:rsidR="00AE1091" w:rsidRPr="008C6B68">
        <w:rPr>
          <w:rFonts w:ascii="Verdana" w:hAnsi="Verdana"/>
          <w:lang w:val="en-US"/>
        </w:rPr>
        <w:t xml:space="preserve"> technical provisions calculated as a </w:t>
      </w:r>
      <w:r w:rsidR="00AE1091" w:rsidRPr="00FF38B7">
        <w:rPr>
          <w:rFonts w:ascii="Verdana" w:hAnsi="Verdana"/>
          <w:lang w:val="en-US"/>
        </w:rPr>
        <w:t>whole</w:t>
      </w:r>
      <w:r w:rsidRPr="008C6B68">
        <w:rPr>
          <w:rFonts w:ascii="Verdana" w:hAnsi="Verdana"/>
          <w:lang w:val="en-US"/>
        </w:rPr>
        <w:t xml:space="preserve"> </w:t>
      </w:r>
      <w:r w:rsidR="004F0CCA" w:rsidRPr="008C6B68">
        <w:rPr>
          <w:rFonts w:ascii="Verdana" w:hAnsi="Verdana"/>
          <w:lang w:val="en-US"/>
        </w:rPr>
        <w:t>and</w:t>
      </w:r>
      <w:r w:rsidR="007E3E9F" w:rsidRPr="008C6B68">
        <w:rPr>
          <w:rFonts w:ascii="Verdana" w:hAnsi="Verdana"/>
          <w:lang w:val="en-US"/>
        </w:rPr>
        <w:t xml:space="preserve"> </w:t>
      </w:r>
      <w:r w:rsidR="007E3E9F" w:rsidRPr="00FF38B7">
        <w:rPr>
          <w:rFonts w:ascii="Verdana" w:hAnsi="Verdana"/>
          <w:lang w:val="en-US"/>
        </w:rPr>
        <w:t xml:space="preserve">the </w:t>
      </w:r>
      <w:r w:rsidR="007E3E9F" w:rsidRPr="008C6B68">
        <w:rPr>
          <w:rFonts w:ascii="Verdana" w:hAnsi="Verdana"/>
          <w:lang w:val="en-US"/>
        </w:rPr>
        <w:t xml:space="preserve">transitional measure on </w:t>
      </w:r>
      <w:r w:rsidR="00104491">
        <w:rPr>
          <w:rFonts w:ascii="Verdana" w:hAnsi="Verdana"/>
          <w:lang w:val="en-US"/>
        </w:rPr>
        <w:t>t</w:t>
      </w:r>
      <w:r w:rsidR="007E3E9F" w:rsidRPr="008C6B68">
        <w:rPr>
          <w:rFonts w:ascii="Verdana" w:hAnsi="Verdana"/>
          <w:lang w:val="en-US"/>
        </w:rPr>
        <w:t xml:space="preserve">echnical </w:t>
      </w:r>
      <w:r w:rsidR="00104491">
        <w:rPr>
          <w:rFonts w:ascii="Verdana" w:hAnsi="Verdana"/>
          <w:lang w:val="en-US"/>
        </w:rPr>
        <w:t>p</w:t>
      </w:r>
      <w:r w:rsidR="007E3E9F" w:rsidRPr="00537123">
        <w:rPr>
          <w:rFonts w:ascii="Verdana" w:hAnsi="Verdana"/>
          <w:lang w:val="en-US"/>
        </w:rPr>
        <w:t>rovisions</w:t>
      </w:r>
      <w:r w:rsidRPr="00537123">
        <w:rPr>
          <w:rFonts w:ascii="Verdana" w:hAnsi="Verdana"/>
          <w:lang w:val="en-US"/>
        </w:rPr>
        <w:t>.</w:t>
      </w:r>
    </w:p>
    <w:p w:rsidR="00EA5D38" w:rsidRPr="005D495C" w:rsidRDefault="00EA5D38" w:rsidP="00370001">
      <w:pPr>
        <w:pStyle w:val="ListParagraph"/>
        <w:rPr>
          <w:rFonts w:ascii="Verdana" w:hAnsi="Verdana"/>
          <w:lang w:val="en-US"/>
        </w:rPr>
      </w:pPr>
    </w:p>
    <w:p w:rsidR="00125D81" w:rsidRPr="007853BA" w:rsidRDefault="00125D81" w:rsidP="00125D81">
      <w:pPr>
        <w:pStyle w:val="ListParagraph"/>
        <w:numPr>
          <w:ilvl w:val="0"/>
          <w:numId w:val="9"/>
        </w:numPr>
        <w:ind w:left="709" w:hanging="709"/>
        <w:jc w:val="both"/>
        <w:rPr>
          <w:rFonts w:ascii="Verdana" w:hAnsi="Verdana"/>
          <w:lang w:val="en-US"/>
        </w:rPr>
      </w:pPr>
      <w:r w:rsidRPr="007853BA">
        <w:rPr>
          <w:rFonts w:ascii="Verdana" w:hAnsi="Verdana"/>
          <w:lang w:val="en-US"/>
        </w:rPr>
        <w:t xml:space="preserve">This template is due to both life and non-life business, however that does not mean that all rows are equally relevant for both. </w:t>
      </w:r>
      <w:r>
        <w:rPr>
          <w:rFonts w:ascii="Verdana" w:hAnsi="Verdana"/>
          <w:lang w:val="en-US"/>
        </w:rPr>
        <w:t xml:space="preserve">Regarding the non-life business the best estimate of both premium provision and claim provision should be reported. </w:t>
      </w:r>
    </w:p>
    <w:p w:rsidR="00125D81" w:rsidRPr="005D495C" w:rsidRDefault="00125D81" w:rsidP="00370001">
      <w:pPr>
        <w:pStyle w:val="ListParagraph"/>
        <w:rPr>
          <w:rFonts w:ascii="Verdana" w:hAnsi="Verdana"/>
          <w:lang w:val="en-US"/>
        </w:rPr>
      </w:pPr>
    </w:p>
    <w:p w:rsidR="00EA5D38" w:rsidRPr="008C6B68" w:rsidRDefault="008C6B68" w:rsidP="00BA2A0B">
      <w:pPr>
        <w:pStyle w:val="ListParagraph"/>
        <w:numPr>
          <w:ilvl w:val="0"/>
          <w:numId w:val="9"/>
        </w:numPr>
        <w:ind w:left="709" w:hanging="709"/>
        <w:jc w:val="both"/>
        <w:rPr>
          <w:rFonts w:ascii="Verdana" w:hAnsi="Verdana"/>
          <w:lang w:val="en-US"/>
        </w:rPr>
      </w:pPr>
      <w:r w:rsidRPr="00BA2A0B">
        <w:rPr>
          <w:rFonts w:ascii="Verdana" w:hAnsi="Verdana"/>
          <w:lang w:val="en-US"/>
        </w:rPr>
        <w:t xml:space="preserve">The </w:t>
      </w:r>
      <w:r w:rsidR="00A63A7D">
        <w:rPr>
          <w:rFonts w:ascii="Verdana" w:hAnsi="Verdana"/>
          <w:lang w:val="en-US"/>
        </w:rPr>
        <w:t>best estimate</w:t>
      </w:r>
      <w:r w:rsidRPr="00BA2A0B">
        <w:rPr>
          <w:rFonts w:ascii="Verdana" w:hAnsi="Verdana"/>
          <w:lang w:val="en-US"/>
        </w:rPr>
        <w:t xml:space="preserve"> related to index-linked </w:t>
      </w:r>
      <w:r w:rsidR="002A3D11">
        <w:rPr>
          <w:rFonts w:ascii="Verdana" w:hAnsi="Verdana"/>
          <w:lang w:val="en-US"/>
        </w:rPr>
        <w:t xml:space="preserve">and unit-linked </w:t>
      </w:r>
      <w:r w:rsidRPr="00BA2A0B">
        <w:rPr>
          <w:rFonts w:ascii="Verdana" w:hAnsi="Verdana"/>
          <w:lang w:val="en-US"/>
        </w:rPr>
        <w:t>business should also be included in R0010 to R0290, preferably in R0010</w:t>
      </w:r>
      <w:r w:rsidR="00104491">
        <w:rPr>
          <w:rFonts w:ascii="Verdana" w:hAnsi="Verdana"/>
          <w:lang w:val="en-US"/>
        </w:rPr>
        <w:noBreakHyphen/>
      </w:r>
      <w:r w:rsidRPr="00BA2A0B">
        <w:rPr>
          <w:rFonts w:ascii="Verdana" w:hAnsi="Verdana"/>
          <w:lang w:val="en-US"/>
        </w:rPr>
        <w:t xml:space="preserve">R0140, i.e. by underwriting year. </w:t>
      </w:r>
      <w:r w:rsidR="001741C3" w:rsidRPr="00BA2A0B">
        <w:rPr>
          <w:rFonts w:ascii="Verdana" w:hAnsi="Verdana"/>
          <w:lang w:val="en-US"/>
        </w:rPr>
        <w:t>In S.29.03.R0300 the net impact of th</w:t>
      </w:r>
      <w:r w:rsidR="00EA5D38" w:rsidRPr="008C6B68">
        <w:rPr>
          <w:rFonts w:ascii="Verdana" w:hAnsi="Verdana"/>
          <w:lang w:val="en-US"/>
        </w:rPr>
        <w:t xml:space="preserve">e </w:t>
      </w:r>
      <w:r w:rsidR="007C490F" w:rsidRPr="008C6B68">
        <w:rPr>
          <w:rFonts w:ascii="Verdana" w:hAnsi="Verdana"/>
          <w:lang w:val="en-US"/>
        </w:rPr>
        <w:t xml:space="preserve">amount of the </w:t>
      </w:r>
      <w:r w:rsidR="001741C3" w:rsidRPr="00BA2A0B">
        <w:rPr>
          <w:rFonts w:ascii="Verdana" w:hAnsi="Verdana"/>
          <w:lang w:val="en-US"/>
        </w:rPr>
        <w:t>a</w:t>
      </w:r>
      <w:r w:rsidR="007C490F" w:rsidRPr="008C6B68">
        <w:rPr>
          <w:rFonts w:ascii="Verdana" w:hAnsi="Verdana"/>
          <w:lang w:val="en-US"/>
        </w:rPr>
        <w:t xml:space="preserve">ssets held by </w:t>
      </w:r>
      <w:r w:rsidR="002A3D11" w:rsidRPr="00BA2A0B">
        <w:rPr>
          <w:rFonts w:ascii="Verdana" w:hAnsi="Verdana"/>
          <w:lang w:val="en-US"/>
        </w:rPr>
        <w:t xml:space="preserve">index-linked </w:t>
      </w:r>
      <w:r w:rsidR="002A3D11">
        <w:rPr>
          <w:rFonts w:ascii="Verdana" w:hAnsi="Verdana"/>
          <w:lang w:val="en-US"/>
        </w:rPr>
        <w:t xml:space="preserve">and unit-linked </w:t>
      </w:r>
      <w:r w:rsidR="00AE1091" w:rsidRPr="008C6B68">
        <w:rPr>
          <w:rFonts w:ascii="Verdana" w:hAnsi="Verdana"/>
          <w:lang w:val="en-US"/>
        </w:rPr>
        <w:t xml:space="preserve">business </w:t>
      </w:r>
      <w:r w:rsidR="001741C3" w:rsidRPr="00BA2A0B">
        <w:rPr>
          <w:rFonts w:ascii="Verdana" w:hAnsi="Verdana"/>
          <w:lang w:val="en-US"/>
        </w:rPr>
        <w:t xml:space="preserve">and of </w:t>
      </w:r>
      <w:r w:rsidR="00104491">
        <w:rPr>
          <w:rFonts w:ascii="Verdana" w:hAnsi="Verdana"/>
          <w:lang w:val="en-US"/>
        </w:rPr>
        <w:t>t</w:t>
      </w:r>
      <w:r w:rsidR="001741C3" w:rsidRPr="008C6B68">
        <w:rPr>
          <w:rFonts w:ascii="Verdana" w:hAnsi="Verdana"/>
          <w:lang w:val="en-US"/>
        </w:rPr>
        <w:t xml:space="preserve">echnical provisions – index-linked and unit-linked </w:t>
      </w:r>
      <w:r w:rsidRPr="00BA2A0B">
        <w:rPr>
          <w:rFonts w:ascii="Verdana" w:hAnsi="Verdana"/>
          <w:lang w:val="en-US"/>
        </w:rPr>
        <w:t>(calculated as best estimate and risk margin or calculate</w:t>
      </w:r>
      <w:r w:rsidR="00153809">
        <w:rPr>
          <w:rFonts w:ascii="Verdana" w:hAnsi="Verdana"/>
          <w:lang w:val="en-US"/>
        </w:rPr>
        <w:t>d</w:t>
      </w:r>
      <w:r w:rsidRPr="00BA2A0B">
        <w:rPr>
          <w:rFonts w:ascii="Verdana" w:hAnsi="Verdana"/>
          <w:lang w:val="en-US"/>
        </w:rPr>
        <w:t xml:space="preserve"> as a whole)</w:t>
      </w:r>
      <w:r w:rsidR="00257666">
        <w:rPr>
          <w:rFonts w:ascii="Verdana" w:hAnsi="Verdana"/>
          <w:lang w:val="en-US"/>
        </w:rPr>
        <w:t xml:space="preserve">, including the technical flows, </w:t>
      </w:r>
      <w:r w:rsidR="001741C3" w:rsidRPr="00BA2A0B">
        <w:rPr>
          <w:rFonts w:ascii="Verdana" w:hAnsi="Verdana"/>
          <w:lang w:val="en-US"/>
        </w:rPr>
        <w:t>should be reported</w:t>
      </w:r>
      <w:r w:rsidRPr="00BA2A0B">
        <w:rPr>
          <w:rFonts w:ascii="Verdana" w:hAnsi="Verdana"/>
          <w:lang w:val="en-US"/>
        </w:rPr>
        <w:t xml:space="preserve"> f</w:t>
      </w:r>
      <w:r w:rsidR="00886402" w:rsidRPr="00BA2A0B">
        <w:rPr>
          <w:rFonts w:ascii="Verdana" w:hAnsi="Verdana"/>
          <w:lang w:val="en-US"/>
        </w:rPr>
        <w:t>or information</w:t>
      </w:r>
      <w:r w:rsidRPr="005A4847">
        <w:rPr>
          <w:rFonts w:ascii="Verdana" w:hAnsi="Verdana"/>
          <w:lang w:val="en-US"/>
        </w:rPr>
        <w:t xml:space="preserve">. </w:t>
      </w:r>
      <w:r w:rsidR="0049106E">
        <w:rPr>
          <w:rFonts w:ascii="Verdana" w:hAnsi="Verdana"/>
          <w:lang w:val="en-US"/>
        </w:rPr>
        <w:t>A positive impact in variation of EoAoL should be reported positive.</w:t>
      </w:r>
    </w:p>
    <w:p w:rsidR="000169C3" w:rsidRPr="00370001" w:rsidRDefault="000169C3" w:rsidP="00370001">
      <w:pPr>
        <w:pStyle w:val="ListParagraph"/>
        <w:ind w:left="709"/>
        <w:jc w:val="both"/>
        <w:rPr>
          <w:rFonts w:ascii="Verdana" w:hAnsi="Verdana"/>
          <w:lang w:val="en-US"/>
        </w:rPr>
      </w:pPr>
    </w:p>
    <w:p w:rsidR="003C2163" w:rsidRDefault="00FF7CE5" w:rsidP="00FF38B7">
      <w:pPr>
        <w:pStyle w:val="ListParagraph"/>
        <w:numPr>
          <w:ilvl w:val="0"/>
          <w:numId w:val="9"/>
        </w:numPr>
        <w:ind w:left="709" w:hanging="709"/>
        <w:jc w:val="both"/>
        <w:rPr>
          <w:rFonts w:ascii="Verdana" w:hAnsi="Verdana"/>
          <w:lang w:val="en-US"/>
        </w:rPr>
      </w:pPr>
      <w:r w:rsidRPr="007853BA">
        <w:rPr>
          <w:rFonts w:ascii="Verdana" w:hAnsi="Verdana"/>
          <w:lang w:val="en-US"/>
        </w:rPr>
        <w:t>The amount</w:t>
      </w:r>
      <w:r w:rsidR="00786BD6" w:rsidRPr="2F4470A3">
        <w:rPr>
          <w:rFonts w:ascii="Verdana" w:hAnsi="Verdana"/>
          <w:lang w:val="en-US"/>
        </w:rPr>
        <w:t>s under analysis</w:t>
      </w:r>
      <w:r w:rsidR="00786BD6" w:rsidRPr="007140FC">
        <w:rPr>
          <w:rFonts w:ascii="Verdana" w:hAnsi="Verdana"/>
          <w:lang w:val="en-US"/>
        </w:rPr>
        <w:t xml:space="preserve"> </w:t>
      </w:r>
      <w:r w:rsidR="00741A17" w:rsidRPr="00FF38B7">
        <w:rPr>
          <w:rFonts w:ascii="Verdana" w:hAnsi="Verdana"/>
          <w:lang w:val="en-US"/>
        </w:rPr>
        <w:t>are</w:t>
      </w:r>
      <w:r w:rsidR="00786BD6" w:rsidRPr="00FF38B7">
        <w:rPr>
          <w:rFonts w:ascii="Verdana" w:hAnsi="Verdana"/>
          <w:lang w:val="en-US"/>
        </w:rPr>
        <w:t xml:space="preserve"> </w:t>
      </w:r>
      <w:r w:rsidRPr="007853BA">
        <w:rPr>
          <w:rFonts w:ascii="Verdana" w:hAnsi="Verdana"/>
          <w:lang w:val="en-US"/>
        </w:rPr>
        <w:t xml:space="preserve">the </w:t>
      </w:r>
      <w:r w:rsidR="00741A17" w:rsidRPr="007140FC">
        <w:rPr>
          <w:rFonts w:ascii="Verdana" w:hAnsi="Verdana"/>
          <w:lang w:val="en-US"/>
        </w:rPr>
        <w:t xml:space="preserve">drivers of the </w:t>
      </w:r>
      <w:r w:rsidRPr="007140FC">
        <w:rPr>
          <w:rFonts w:ascii="Verdana" w:hAnsi="Verdana"/>
          <w:lang w:val="en-US"/>
        </w:rPr>
        <w:t>v</w:t>
      </w:r>
      <w:r w:rsidR="00D41AFC" w:rsidRPr="007140FC">
        <w:rPr>
          <w:rFonts w:ascii="Verdana" w:hAnsi="Verdana"/>
          <w:lang w:val="en-US"/>
        </w:rPr>
        <w:t xml:space="preserve">ariation of </w:t>
      </w:r>
      <w:r w:rsidR="00786BD6" w:rsidRPr="007140FC">
        <w:rPr>
          <w:rFonts w:ascii="Verdana" w:hAnsi="Verdana"/>
          <w:lang w:val="en-US"/>
        </w:rPr>
        <w:t xml:space="preserve">the </w:t>
      </w:r>
      <w:r w:rsidR="005D6900" w:rsidRPr="007140FC">
        <w:rPr>
          <w:rFonts w:ascii="Verdana" w:hAnsi="Verdana"/>
          <w:lang w:val="en-US"/>
        </w:rPr>
        <w:t>best estimate</w:t>
      </w:r>
      <w:r w:rsidR="00786BD6" w:rsidRPr="2F4470A3">
        <w:rPr>
          <w:rFonts w:ascii="Verdana" w:hAnsi="Verdana"/>
          <w:lang w:val="en-US"/>
        </w:rPr>
        <w:t xml:space="preserve"> and </w:t>
      </w:r>
      <w:r w:rsidRPr="007853BA">
        <w:rPr>
          <w:rFonts w:ascii="Verdana" w:hAnsi="Verdana"/>
          <w:lang w:val="en-US"/>
        </w:rPr>
        <w:t xml:space="preserve">the technical </w:t>
      </w:r>
      <w:r w:rsidRPr="007140FC">
        <w:rPr>
          <w:rFonts w:ascii="Verdana" w:hAnsi="Verdana"/>
          <w:lang w:val="en-US"/>
        </w:rPr>
        <w:t>revenues and charges (inflows and outflows)</w:t>
      </w:r>
      <w:r w:rsidR="003C2163" w:rsidRPr="007140FC">
        <w:rPr>
          <w:rFonts w:ascii="Verdana" w:hAnsi="Verdana"/>
          <w:lang w:val="en-US"/>
        </w:rPr>
        <w:t xml:space="preserve"> as detailed </w:t>
      </w:r>
      <w:r w:rsidR="00AA4F21" w:rsidRPr="007140FC">
        <w:rPr>
          <w:rFonts w:ascii="Verdana" w:hAnsi="Verdana"/>
          <w:lang w:val="en-US"/>
        </w:rPr>
        <w:t>below</w:t>
      </w:r>
      <w:r w:rsidRPr="007140FC">
        <w:rPr>
          <w:rFonts w:ascii="Verdana" w:hAnsi="Verdana"/>
          <w:lang w:val="en-US"/>
        </w:rPr>
        <w:t xml:space="preserve">. </w:t>
      </w:r>
      <w:r w:rsidR="00D41C3A">
        <w:rPr>
          <w:rFonts w:ascii="Verdana" w:hAnsi="Verdana"/>
          <w:lang w:val="en-US"/>
        </w:rPr>
        <w:t>The template is divided in between obligations managed by underwriting year (R0010 to R0140) and obligation</w:t>
      </w:r>
      <w:r w:rsidR="001604D5">
        <w:rPr>
          <w:rFonts w:ascii="Verdana" w:hAnsi="Verdana"/>
          <w:lang w:val="en-US"/>
        </w:rPr>
        <w:t>s</w:t>
      </w:r>
      <w:r w:rsidR="00D41C3A">
        <w:rPr>
          <w:rFonts w:ascii="Verdana" w:hAnsi="Verdana"/>
          <w:lang w:val="en-US"/>
        </w:rPr>
        <w:t xml:space="preserve"> managed by accident year (R0150 to R0290). </w:t>
      </w:r>
      <w:r w:rsidR="00D41C3A" w:rsidRPr="00D41C3A">
        <w:rPr>
          <w:rFonts w:ascii="Verdana" w:hAnsi="Verdana"/>
          <w:lang w:val="en-US"/>
        </w:rPr>
        <w:t xml:space="preserve">Undertakings are required to report data on an accident year or underwriting year basis, in accordance with any requirements of the National Supervisory Authority. If the National Supervisory Authority has not stipulated which to use then the undertaking may use accident or underwriting year according to how they manage each line of business, as defined in Annex I to Delegated Regulation (EU) 2015/35, provided that they use the same </w:t>
      </w:r>
      <w:r w:rsidR="00104491">
        <w:rPr>
          <w:rFonts w:ascii="Verdana" w:hAnsi="Verdana"/>
          <w:lang w:val="en-US"/>
        </w:rPr>
        <w:t xml:space="preserve">method </w:t>
      </w:r>
      <w:r w:rsidR="00D41C3A" w:rsidRPr="00D41C3A">
        <w:rPr>
          <w:rFonts w:ascii="Verdana" w:hAnsi="Verdana"/>
          <w:lang w:val="en-US"/>
        </w:rPr>
        <w:t>consistently, year on year.</w:t>
      </w:r>
      <w:r w:rsidR="00D41C3A">
        <w:rPr>
          <w:rFonts w:ascii="Verdana" w:hAnsi="Verdana"/>
          <w:lang w:val="en-US"/>
        </w:rPr>
        <w:t xml:space="preserve"> </w:t>
      </w:r>
      <w:r w:rsidR="00D64F35">
        <w:rPr>
          <w:rFonts w:ascii="Verdana" w:hAnsi="Verdana"/>
          <w:lang w:val="en-US"/>
        </w:rPr>
        <w:t xml:space="preserve">This question is applicable mostly for non-life and annuities business. In life business, other than annuities, it is expected </w:t>
      </w:r>
      <w:r w:rsidR="00104491">
        <w:rPr>
          <w:rFonts w:ascii="Verdana" w:hAnsi="Verdana"/>
          <w:lang w:val="en-US"/>
        </w:rPr>
        <w:t xml:space="preserve">that </w:t>
      </w:r>
      <w:r w:rsidR="00D64F35">
        <w:rPr>
          <w:rFonts w:ascii="Verdana" w:hAnsi="Verdana"/>
          <w:lang w:val="en-US"/>
        </w:rPr>
        <w:t>underwriting year</w:t>
      </w:r>
      <w:r w:rsidR="00104491">
        <w:rPr>
          <w:rFonts w:ascii="Verdana" w:hAnsi="Verdana"/>
          <w:lang w:val="en-US"/>
        </w:rPr>
        <w:t xml:space="preserve"> is used</w:t>
      </w:r>
      <w:r w:rsidR="00D64F35">
        <w:rPr>
          <w:rFonts w:ascii="Verdana" w:hAnsi="Verdana"/>
          <w:lang w:val="en-US"/>
        </w:rPr>
        <w:t>. This choice is not related to how the best estimate is calculated and which item compose the</w:t>
      </w:r>
      <w:r w:rsidR="002D0006">
        <w:rPr>
          <w:rFonts w:ascii="Verdana" w:hAnsi="Verdana"/>
          <w:lang w:val="en-US"/>
        </w:rPr>
        <w:t xml:space="preserve"> </w:t>
      </w:r>
      <w:r w:rsidR="00D64F35">
        <w:rPr>
          <w:rFonts w:ascii="Verdana" w:hAnsi="Verdana"/>
          <w:lang w:val="en-US"/>
        </w:rPr>
        <w:t xml:space="preserve">best estimate but rather, when information is requested by years (or periods in case of S.29.04) in each year/period the contract relates to. </w:t>
      </w:r>
    </w:p>
    <w:p w:rsidR="00D41C3A" w:rsidRPr="00FF38B7" w:rsidRDefault="00D41C3A" w:rsidP="005A4847">
      <w:pPr>
        <w:pStyle w:val="ListParagraph"/>
        <w:ind w:left="709"/>
        <w:jc w:val="both"/>
        <w:rPr>
          <w:rFonts w:ascii="Verdana" w:hAnsi="Verdana"/>
          <w:lang w:val="en-US"/>
        </w:rPr>
      </w:pPr>
    </w:p>
    <w:p w:rsidR="00D41C3A" w:rsidRPr="007853BA" w:rsidRDefault="00D41C3A" w:rsidP="00FF38B7">
      <w:pPr>
        <w:pStyle w:val="ListParagraph"/>
        <w:numPr>
          <w:ilvl w:val="0"/>
          <w:numId w:val="9"/>
        </w:numPr>
        <w:ind w:left="709" w:hanging="709"/>
        <w:jc w:val="both"/>
        <w:rPr>
          <w:rFonts w:ascii="Verdana" w:hAnsi="Verdana"/>
          <w:lang w:val="en-US"/>
        </w:rPr>
      </w:pPr>
      <w:r>
        <w:rPr>
          <w:rFonts w:ascii="Verdana" w:hAnsi="Verdana"/>
          <w:lang w:val="en-US"/>
        </w:rPr>
        <w:t xml:space="preserve">The </w:t>
      </w:r>
      <w:r w:rsidRPr="003A60CE">
        <w:rPr>
          <w:rFonts w:ascii="Verdana" w:hAnsi="Verdana"/>
          <w:lang w:val="en-US"/>
        </w:rPr>
        <w:t>template only requires the split of the obligation</w:t>
      </w:r>
      <w:r w:rsidR="003A60CE">
        <w:rPr>
          <w:rFonts w:ascii="Verdana" w:hAnsi="Verdana"/>
          <w:lang w:val="en-US"/>
        </w:rPr>
        <w:t>s</w:t>
      </w:r>
      <w:r w:rsidRPr="003A60CE">
        <w:rPr>
          <w:rFonts w:ascii="Verdana" w:hAnsi="Verdana"/>
          <w:lang w:val="en-US"/>
        </w:rPr>
        <w:t xml:space="preserve"> according to whether the obligations are managed by underwriting or accident</w:t>
      </w:r>
      <w:r>
        <w:rPr>
          <w:rFonts w:ascii="Verdana" w:hAnsi="Verdana"/>
          <w:lang w:val="en-US"/>
        </w:rPr>
        <w:t xml:space="preserve"> year. The impact is only whether the amounts are reported in rows R0010 to R0140 or in R0150 to R0290, no breakdown by year is requested. </w:t>
      </w:r>
    </w:p>
    <w:p w:rsidR="00786BD6" w:rsidRDefault="00786BD6" w:rsidP="00370001">
      <w:pPr>
        <w:pStyle w:val="ListParagraph"/>
        <w:ind w:left="709"/>
        <w:jc w:val="both"/>
        <w:rPr>
          <w:rFonts w:ascii="Verdana" w:hAnsi="Verdana"/>
          <w:lang w:val="en-US"/>
        </w:rPr>
      </w:pPr>
    </w:p>
    <w:p w:rsidR="00D41AFC" w:rsidRPr="007853BA" w:rsidRDefault="00AE1091" w:rsidP="00370001">
      <w:pPr>
        <w:pStyle w:val="ListParagraph"/>
        <w:numPr>
          <w:ilvl w:val="0"/>
          <w:numId w:val="9"/>
        </w:numPr>
        <w:ind w:left="709" w:hanging="709"/>
        <w:jc w:val="both"/>
        <w:rPr>
          <w:rFonts w:ascii="Verdana" w:hAnsi="Verdana"/>
          <w:lang w:val="en-US"/>
        </w:rPr>
      </w:pPr>
      <w:r w:rsidRPr="007853BA">
        <w:rPr>
          <w:rFonts w:ascii="Verdana" w:hAnsi="Verdana"/>
          <w:lang w:val="en-US"/>
        </w:rPr>
        <w:t xml:space="preserve">The </w:t>
      </w:r>
      <w:r w:rsidRPr="007140FC">
        <w:rPr>
          <w:rFonts w:ascii="Verdana" w:hAnsi="Verdana"/>
          <w:lang w:val="en-US"/>
        </w:rPr>
        <w:t>main table</w:t>
      </w:r>
      <w:r w:rsidR="00F80091" w:rsidRPr="007140FC">
        <w:rPr>
          <w:rFonts w:ascii="Verdana" w:hAnsi="Verdana"/>
          <w:lang w:val="en-US"/>
        </w:rPr>
        <w:t>,</w:t>
      </w:r>
      <w:r w:rsidRPr="007140FC">
        <w:rPr>
          <w:rFonts w:ascii="Verdana" w:hAnsi="Verdana"/>
          <w:lang w:val="en-US"/>
        </w:rPr>
        <w:t xml:space="preserve"> </w:t>
      </w:r>
      <w:r w:rsidRPr="2F4470A3">
        <w:rPr>
          <w:rFonts w:ascii="Verdana" w:hAnsi="Verdana"/>
          <w:lang w:val="en-US"/>
        </w:rPr>
        <w:t>from R0010</w:t>
      </w:r>
      <w:r w:rsidRPr="007140FC">
        <w:rPr>
          <w:rFonts w:ascii="Verdana" w:hAnsi="Verdana"/>
          <w:lang w:val="en-US"/>
        </w:rPr>
        <w:t xml:space="preserve"> to </w:t>
      </w:r>
      <w:r w:rsidR="00F80091" w:rsidRPr="007140FC">
        <w:rPr>
          <w:rFonts w:ascii="Verdana" w:hAnsi="Verdana"/>
          <w:lang w:val="en-US"/>
        </w:rPr>
        <w:t>R0120</w:t>
      </w:r>
      <w:r w:rsidR="00A46CB0">
        <w:rPr>
          <w:rFonts w:ascii="Verdana" w:hAnsi="Verdana"/>
          <w:lang w:val="en-US"/>
        </w:rPr>
        <w:t>,</w:t>
      </w:r>
      <w:r w:rsidR="00EB0D73">
        <w:rPr>
          <w:rFonts w:ascii="Verdana" w:eastAsia="Verdana" w:hAnsi="Verdana" w:cs="Verdana"/>
          <w:lang w:val="en-US"/>
        </w:rPr>
        <w:t xml:space="preserve"> </w:t>
      </w:r>
      <w:r w:rsidR="00AA7460">
        <w:rPr>
          <w:rFonts w:ascii="Verdana" w:eastAsia="Verdana" w:hAnsi="Verdana" w:cs="Verdana"/>
          <w:lang w:val="en-US"/>
        </w:rPr>
        <w:t xml:space="preserve">from </w:t>
      </w:r>
      <w:r w:rsidR="00EB0D73">
        <w:rPr>
          <w:rFonts w:ascii="Verdana" w:eastAsia="Verdana" w:hAnsi="Verdana" w:cs="Verdana"/>
          <w:lang w:val="en-US"/>
        </w:rPr>
        <w:t>R0150 t</w:t>
      </w:r>
      <w:r w:rsidR="00AF3128">
        <w:rPr>
          <w:rFonts w:ascii="Verdana" w:eastAsia="Verdana" w:hAnsi="Verdana" w:cs="Verdana"/>
          <w:lang w:val="en-US"/>
        </w:rPr>
        <w:t>o</w:t>
      </w:r>
      <w:r w:rsidR="00EB0D73">
        <w:rPr>
          <w:rFonts w:ascii="Verdana" w:eastAsia="Verdana" w:hAnsi="Verdana" w:cs="Verdana"/>
          <w:lang w:val="en-US"/>
        </w:rPr>
        <w:t xml:space="preserve"> R</w:t>
      </w:r>
      <w:r w:rsidR="00122671">
        <w:rPr>
          <w:rFonts w:ascii="Verdana" w:eastAsia="Verdana" w:hAnsi="Verdana" w:cs="Verdana"/>
          <w:lang w:val="en-US"/>
        </w:rPr>
        <w:t>0270</w:t>
      </w:r>
      <w:r w:rsidR="00F80091" w:rsidRPr="007853BA">
        <w:rPr>
          <w:rFonts w:ascii="Verdana" w:hAnsi="Verdana"/>
          <w:lang w:val="en-US"/>
        </w:rPr>
        <w:t>,</w:t>
      </w:r>
      <w:r w:rsidRPr="007140FC">
        <w:rPr>
          <w:rFonts w:ascii="Verdana" w:hAnsi="Verdana"/>
          <w:lang w:val="en-US"/>
        </w:rPr>
        <w:t xml:space="preserve"> </w:t>
      </w:r>
      <w:r w:rsidR="00177DC9">
        <w:rPr>
          <w:rFonts w:ascii="Verdana" w:hAnsi="Verdana"/>
          <w:lang w:val="en-US"/>
        </w:rPr>
        <w:t xml:space="preserve">R0310 to R0340 </w:t>
      </w:r>
      <w:r w:rsidR="00A46CB0">
        <w:rPr>
          <w:rFonts w:ascii="Verdana" w:eastAsia="Verdana" w:hAnsi="Verdana" w:cs="Verdana"/>
          <w:lang w:val="en-US"/>
        </w:rPr>
        <w:t xml:space="preserve">and </w:t>
      </w:r>
      <w:r w:rsidR="00A46CB0" w:rsidRPr="007140FC">
        <w:rPr>
          <w:rFonts w:ascii="Verdana" w:hAnsi="Verdana"/>
          <w:lang w:val="en-US"/>
        </w:rPr>
        <w:t>R0360</w:t>
      </w:r>
      <w:r w:rsidR="00A46CB0">
        <w:rPr>
          <w:rFonts w:ascii="Verdana" w:hAnsi="Verdana"/>
          <w:lang w:val="en-US"/>
        </w:rPr>
        <w:t xml:space="preserve"> </w:t>
      </w:r>
      <w:r w:rsidRPr="007140FC">
        <w:rPr>
          <w:rFonts w:ascii="Verdana" w:hAnsi="Verdana"/>
          <w:lang w:val="en-US"/>
        </w:rPr>
        <w:t xml:space="preserve">reflects </w:t>
      </w:r>
      <w:r w:rsidR="00741A17" w:rsidRPr="007140FC">
        <w:rPr>
          <w:rFonts w:ascii="Verdana" w:hAnsi="Verdana"/>
          <w:lang w:val="en-US"/>
        </w:rPr>
        <w:t xml:space="preserve">amounts </w:t>
      </w:r>
      <w:r w:rsidR="00EA5D38" w:rsidRPr="007140FC">
        <w:rPr>
          <w:rFonts w:ascii="Verdana" w:hAnsi="Verdana"/>
          <w:lang w:val="en-US"/>
        </w:rPr>
        <w:t xml:space="preserve">gross of reinsurance, </w:t>
      </w:r>
      <w:r w:rsidR="00F80091" w:rsidRPr="2F4470A3">
        <w:rPr>
          <w:rFonts w:ascii="Verdana" w:hAnsi="Verdana"/>
          <w:lang w:val="en-US"/>
        </w:rPr>
        <w:t>R0130</w:t>
      </w:r>
      <w:r w:rsidR="006833F5">
        <w:rPr>
          <w:rFonts w:ascii="Verdana" w:eastAsia="Verdana" w:hAnsi="Verdana" w:cs="Verdana"/>
          <w:lang w:val="en-US"/>
        </w:rPr>
        <w:t xml:space="preserve">, </w:t>
      </w:r>
      <w:r w:rsidR="00F80091" w:rsidRPr="007140FC">
        <w:rPr>
          <w:rFonts w:ascii="Verdana" w:hAnsi="Verdana"/>
          <w:lang w:val="en-US"/>
        </w:rPr>
        <w:t>R0140</w:t>
      </w:r>
      <w:r w:rsidR="006833F5">
        <w:rPr>
          <w:rFonts w:ascii="Verdana" w:eastAsia="Verdana" w:hAnsi="Verdana" w:cs="Verdana"/>
          <w:lang w:val="en-US"/>
        </w:rPr>
        <w:t>,</w:t>
      </w:r>
      <w:r w:rsidR="00F80091" w:rsidRPr="007140FC">
        <w:rPr>
          <w:rFonts w:ascii="Verdana" w:hAnsi="Verdana"/>
          <w:lang w:val="en-US"/>
        </w:rPr>
        <w:t xml:space="preserve"> </w:t>
      </w:r>
      <w:r w:rsidR="00EA5D38" w:rsidRPr="00AD7EC0">
        <w:rPr>
          <w:rFonts w:ascii="Verdana" w:eastAsia="Verdana" w:hAnsi="Verdana" w:cs="Verdana"/>
          <w:lang w:val="en-US"/>
        </w:rPr>
        <w:t>R0</w:t>
      </w:r>
      <w:r w:rsidR="00F80091" w:rsidRPr="00AD7EC0">
        <w:rPr>
          <w:rFonts w:ascii="Verdana" w:eastAsia="Verdana" w:hAnsi="Verdana" w:cs="Verdana"/>
          <w:lang w:val="en-US"/>
        </w:rPr>
        <w:t>28</w:t>
      </w:r>
      <w:r w:rsidR="00EA5D38" w:rsidRPr="00AD7EC0">
        <w:rPr>
          <w:rFonts w:ascii="Verdana" w:eastAsia="Verdana" w:hAnsi="Verdana" w:cs="Verdana"/>
          <w:lang w:val="en-US"/>
        </w:rPr>
        <w:t>0</w:t>
      </w:r>
      <w:r w:rsidR="00A46CB0">
        <w:rPr>
          <w:rFonts w:ascii="Verdana" w:eastAsia="Verdana" w:hAnsi="Verdana" w:cs="Verdana"/>
          <w:lang w:val="en-US"/>
        </w:rPr>
        <w:t>,</w:t>
      </w:r>
      <w:r w:rsidR="006833F5">
        <w:rPr>
          <w:rFonts w:ascii="Verdana" w:eastAsia="Verdana" w:hAnsi="Verdana" w:cs="Verdana"/>
          <w:lang w:val="en-US"/>
        </w:rPr>
        <w:t xml:space="preserve"> </w:t>
      </w:r>
      <w:r w:rsidR="00F80091" w:rsidRPr="007140FC">
        <w:rPr>
          <w:rFonts w:ascii="Verdana" w:hAnsi="Verdana"/>
          <w:lang w:val="en-US"/>
        </w:rPr>
        <w:t>R0290</w:t>
      </w:r>
      <w:r w:rsidR="00177DC9">
        <w:rPr>
          <w:rFonts w:ascii="Verdana" w:hAnsi="Verdana"/>
          <w:lang w:val="en-US"/>
        </w:rPr>
        <w:t>, R0350</w:t>
      </w:r>
      <w:r w:rsidR="00104491">
        <w:rPr>
          <w:rFonts w:ascii="Verdana" w:hAnsi="Verdana"/>
          <w:lang w:val="en-US"/>
        </w:rPr>
        <w:t>,</w:t>
      </w:r>
      <w:r w:rsidR="00EA5D38" w:rsidRPr="007140FC">
        <w:rPr>
          <w:rFonts w:ascii="Verdana" w:hAnsi="Verdana"/>
          <w:lang w:val="en-US"/>
        </w:rPr>
        <w:t xml:space="preserve"> </w:t>
      </w:r>
      <w:r w:rsidR="00A46CB0">
        <w:rPr>
          <w:rFonts w:ascii="Verdana" w:eastAsia="Verdana" w:hAnsi="Verdana" w:cs="Verdana"/>
          <w:lang w:val="en-US"/>
        </w:rPr>
        <w:t xml:space="preserve">and R0370 </w:t>
      </w:r>
      <w:r w:rsidR="00EA5D38" w:rsidRPr="007140FC">
        <w:rPr>
          <w:rFonts w:ascii="Verdana" w:hAnsi="Verdana"/>
          <w:lang w:val="en-US"/>
        </w:rPr>
        <w:t>refer</w:t>
      </w:r>
      <w:r w:rsidRPr="007140FC">
        <w:rPr>
          <w:rFonts w:ascii="Verdana" w:hAnsi="Verdana"/>
          <w:lang w:val="en-US"/>
        </w:rPr>
        <w:t>s</w:t>
      </w:r>
      <w:r w:rsidR="00EA5D38" w:rsidRPr="007140FC">
        <w:rPr>
          <w:rFonts w:ascii="Verdana" w:hAnsi="Verdana"/>
          <w:lang w:val="en-US"/>
        </w:rPr>
        <w:t xml:space="preserve"> to reinsurance</w:t>
      </w:r>
      <w:r w:rsidRPr="007140FC">
        <w:rPr>
          <w:rFonts w:ascii="Verdana" w:hAnsi="Verdana"/>
          <w:lang w:val="en-US"/>
        </w:rPr>
        <w:t xml:space="preserve"> recoverables</w:t>
      </w:r>
      <w:r w:rsidR="00EA5D38" w:rsidRPr="007140FC">
        <w:rPr>
          <w:rFonts w:ascii="Verdana" w:hAnsi="Verdana"/>
          <w:lang w:val="en-US"/>
        </w:rPr>
        <w:t xml:space="preserve"> and the result </w:t>
      </w:r>
      <w:r w:rsidR="00F80091" w:rsidRPr="2F4470A3">
        <w:rPr>
          <w:rFonts w:ascii="Verdana" w:hAnsi="Verdana"/>
          <w:lang w:val="en-US"/>
        </w:rPr>
        <w:t>net of reinsurance recoverables</w:t>
      </w:r>
      <w:r w:rsidR="00F80091" w:rsidRPr="007140FC" w:rsidDel="00AE1091">
        <w:rPr>
          <w:rFonts w:ascii="Verdana" w:hAnsi="Verdana"/>
          <w:lang w:val="en-US"/>
        </w:rPr>
        <w:t xml:space="preserve"> </w:t>
      </w:r>
      <w:r w:rsidRPr="007853BA">
        <w:rPr>
          <w:rFonts w:ascii="Verdana" w:hAnsi="Verdana"/>
          <w:lang w:val="en-US"/>
        </w:rPr>
        <w:t xml:space="preserve">is </w:t>
      </w:r>
      <w:r w:rsidR="003A60CE">
        <w:rPr>
          <w:rFonts w:ascii="Verdana" w:hAnsi="Verdana"/>
          <w:lang w:val="en-US"/>
        </w:rPr>
        <w:t xml:space="preserve">reflected </w:t>
      </w:r>
      <w:r w:rsidRPr="007853BA">
        <w:rPr>
          <w:rFonts w:ascii="Verdana" w:hAnsi="Verdana"/>
          <w:lang w:val="en-US"/>
        </w:rPr>
        <w:t xml:space="preserve">in </w:t>
      </w:r>
      <w:r w:rsidRPr="00AD7EC0">
        <w:rPr>
          <w:rFonts w:ascii="Verdana" w:eastAsia="Verdana" w:hAnsi="Verdana" w:cs="Verdana"/>
          <w:lang w:val="en-US"/>
        </w:rPr>
        <w:t>S</w:t>
      </w:r>
      <w:r w:rsidRPr="007853BA">
        <w:rPr>
          <w:rFonts w:ascii="Verdana" w:hAnsi="Verdana"/>
          <w:lang w:val="en-US"/>
        </w:rPr>
        <w:t>.2</w:t>
      </w:r>
      <w:r w:rsidR="00EA5D38" w:rsidRPr="007140FC">
        <w:rPr>
          <w:rFonts w:ascii="Verdana" w:hAnsi="Verdana"/>
          <w:lang w:val="en-US"/>
        </w:rPr>
        <w:t>9.01</w:t>
      </w:r>
      <w:r w:rsidR="00F80091" w:rsidRPr="007140FC">
        <w:rPr>
          <w:rFonts w:ascii="Verdana" w:hAnsi="Verdana"/>
          <w:lang w:val="en-US"/>
        </w:rPr>
        <w:t>.R0200/C0030</w:t>
      </w:r>
      <w:r w:rsidR="00583156">
        <w:rPr>
          <w:rFonts w:ascii="Verdana" w:hAnsi="Verdana"/>
          <w:lang w:val="en-US"/>
        </w:rPr>
        <w:t xml:space="preserve"> (</w:t>
      </w:r>
      <w:r w:rsidR="00104491">
        <w:rPr>
          <w:rFonts w:ascii="Verdana" w:hAnsi="Verdana"/>
          <w:lang w:val="en-US"/>
        </w:rPr>
        <w:t xml:space="preserve">please </w:t>
      </w:r>
      <w:r w:rsidR="00583156">
        <w:rPr>
          <w:rFonts w:ascii="Verdana" w:hAnsi="Verdana"/>
          <w:lang w:val="en-US"/>
        </w:rPr>
        <w:t>see BV508</w:t>
      </w:r>
      <w:r w:rsidR="00104491">
        <w:rPr>
          <w:rFonts w:ascii="Verdana" w:hAnsi="Verdana"/>
          <w:lang w:val="en-US"/>
        </w:rPr>
        <w:t xml:space="preserve"> of the list of validations</w:t>
      </w:r>
      <w:r w:rsidR="00583156">
        <w:rPr>
          <w:rFonts w:ascii="Verdana" w:hAnsi="Verdana"/>
          <w:lang w:val="en-US"/>
        </w:rPr>
        <w:t>)</w:t>
      </w:r>
      <w:r w:rsidR="00FF7CE5" w:rsidRPr="007853BA">
        <w:rPr>
          <w:rFonts w:ascii="Verdana" w:hAnsi="Verdana"/>
          <w:lang w:val="en-US"/>
        </w:rPr>
        <w:t>.</w:t>
      </w:r>
      <w:r w:rsidR="00655E97">
        <w:rPr>
          <w:rFonts w:ascii="Verdana" w:hAnsi="Verdana"/>
          <w:lang w:val="en-US"/>
        </w:rPr>
        <w:t xml:space="preserve"> The amounts relative to </w:t>
      </w:r>
      <w:r w:rsidR="00655E97" w:rsidRPr="007140FC">
        <w:rPr>
          <w:rFonts w:ascii="Verdana" w:hAnsi="Verdana"/>
          <w:lang w:val="en-US"/>
        </w:rPr>
        <w:t>reinsurance recoverables</w:t>
      </w:r>
      <w:r w:rsidR="00655E97">
        <w:rPr>
          <w:rFonts w:ascii="Verdana" w:hAnsi="Verdana"/>
          <w:lang w:val="en-US"/>
        </w:rPr>
        <w:t xml:space="preserve"> should be reported negative if </w:t>
      </w:r>
      <w:r w:rsidR="000F157C">
        <w:rPr>
          <w:rFonts w:ascii="Verdana" w:hAnsi="Verdana"/>
          <w:lang w:val="en-US"/>
        </w:rPr>
        <w:t xml:space="preserve">they are an Asset. </w:t>
      </w:r>
    </w:p>
    <w:p w:rsidR="006E6CF8" w:rsidRDefault="005D6900" w:rsidP="00DC4837">
      <w:pPr>
        <w:ind w:left="426"/>
        <w:jc w:val="both"/>
        <w:rPr>
          <w:lang w:val="en-US"/>
        </w:rPr>
      </w:pPr>
      <w:r w:rsidRPr="005D6900">
        <w:rPr>
          <w:lang w:val="en-US"/>
        </w:rPr>
        <w:t xml:space="preserve"> </w:t>
      </w:r>
      <w:r w:rsidR="0024005B" w:rsidRPr="0024005B">
        <w:rPr>
          <w:lang w:val="en-US"/>
        </w:rPr>
        <w:t xml:space="preserve"> </w:t>
      </w:r>
      <w:r w:rsidR="0024005B" w:rsidRPr="0024005B">
        <w:rPr>
          <w:noProof/>
          <w:lang w:val="en-GB" w:eastAsia="en-GB"/>
        </w:rPr>
        <w:drawing>
          <wp:inline distT="0" distB="0" distL="0" distR="0" wp14:anchorId="0E830DAE" wp14:editId="5FE8BBE7">
            <wp:extent cx="5760720" cy="6130455"/>
            <wp:effectExtent l="0" t="0" r="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60720" cy="6130455"/>
                    </a:xfrm>
                    <a:prstGeom prst="rect">
                      <a:avLst/>
                    </a:prstGeom>
                    <a:noFill/>
                    <a:ln>
                      <a:noFill/>
                    </a:ln>
                  </pic:spPr>
                </pic:pic>
              </a:graphicData>
            </a:graphic>
          </wp:inline>
        </w:drawing>
      </w:r>
    </w:p>
    <w:p w:rsidR="00240082" w:rsidRPr="0024005B" w:rsidRDefault="00240082" w:rsidP="0024005B">
      <w:pPr>
        <w:pStyle w:val="ListParagraph"/>
        <w:ind w:left="709"/>
        <w:jc w:val="both"/>
        <w:rPr>
          <w:lang w:val="en-US"/>
        </w:rPr>
      </w:pPr>
    </w:p>
    <w:p w:rsidR="00240082" w:rsidRPr="0024005B" w:rsidRDefault="00240082" w:rsidP="0024005B">
      <w:pPr>
        <w:pStyle w:val="ListParagraph"/>
        <w:ind w:left="709"/>
        <w:jc w:val="both"/>
        <w:rPr>
          <w:rFonts w:ascii="Verdana" w:hAnsi="Verdana"/>
          <w:lang w:val="en-US"/>
        </w:rPr>
      </w:pPr>
    </w:p>
    <w:p w:rsidR="00DA5C7B" w:rsidRPr="007140FC" w:rsidRDefault="00741A17" w:rsidP="0024005B">
      <w:pPr>
        <w:pStyle w:val="ListParagraph"/>
        <w:numPr>
          <w:ilvl w:val="0"/>
          <w:numId w:val="9"/>
        </w:numPr>
        <w:ind w:left="709" w:hanging="709"/>
        <w:jc w:val="both"/>
        <w:rPr>
          <w:rFonts w:ascii="Verdana" w:hAnsi="Verdana"/>
          <w:lang w:val="en-US"/>
        </w:rPr>
      </w:pPr>
      <w:r w:rsidRPr="007853BA">
        <w:rPr>
          <w:rFonts w:ascii="Verdana" w:hAnsi="Verdana"/>
          <w:lang w:val="en-US"/>
        </w:rPr>
        <w:t xml:space="preserve">The table </w:t>
      </w:r>
      <w:r w:rsidRPr="00AD7EC0">
        <w:rPr>
          <w:rFonts w:ascii="Verdana" w:eastAsia="Verdana" w:hAnsi="Verdana" w:cs="Verdana"/>
          <w:lang w:val="en-US"/>
        </w:rPr>
        <w:t>b</w:t>
      </w:r>
      <w:r w:rsidR="00DA5C7B" w:rsidRPr="00741A17">
        <w:rPr>
          <w:rFonts w:ascii="Verdana" w:hAnsi="Verdana"/>
          <w:lang w:val="en-US"/>
        </w:rPr>
        <w:t>elow</w:t>
      </w:r>
      <w:r w:rsidR="00DA5C7B" w:rsidRPr="007853BA">
        <w:rPr>
          <w:rFonts w:ascii="Verdana" w:hAnsi="Verdana"/>
          <w:lang w:val="en-US"/>
        </w:rPr>
        <w:t xml:space="preserve"> </w:t>
      </w:r>
      <w:r w:rsidRPr="007853BA">
        <w:rPr>
          <w:rFonts w:ascii="Verdana" w:hAnsi="Verdana"/>
          <w:lang w:val="en-US"/>
        </w:rPr>
        <w:t xml:space="preserve">further explains expectations regarding the meaning and </w:t>
      </w:r>
      <w:r w:rsidRPr="007140FC">
        <w:rPr>
          <w:rFonts w:ascii="Verdana" w:hAnsi="Verdana"/>
          <w:lang w:val="en-US"/>
        </w:rPr>
        <w:t>add comments of each row of the template from R</w:t>
      </w:r>
      <w:r w:rsidR="00065FD9" w:rsidRPr="007853BA">
        <w:rPr>
          <w:rFonts w:ascii="Verdana" w:hAnsi="Verdana"/>
          <w:lang w:val="en-US"/>
        </w:rPr>
        <w:t>0020</w:t>
      </w:r>
      <w:r w:rsidR="008A256D">
        <w:rPr>
          <w:rFonts w:ascii="Verdana" w:eastAsia="Verdana" w:hAnsi="Verdana" w:cs="Verdana"/>
          <w:lang w:val="en-US"/>
        </w:rPr>
        <w:t xml:space="preserve"> to R0110</w:t>
      </w:r>
      <w:r w:rsidR="007140FC">
        <w:rPr>
          <w:rFonts w:ascii="Verdana" w:eastAsia="Verdana" w:hAnsi="Verdana" w:cs="Verdana"/>
          <w:lang w:val="en-US"/>
        </w:rPr>
        <w:t xml:space="preserve"> </w:t>
      </w:r>
      <w:r w:rsidR="00AD21FC">
        <w:rPr>
          <w:rFonts w:ascii="Verdana" w:hAnsi="Verdana"/>
          <w:lang w:val="en-US"/>
        </w:rPr>
        <w:t>and from</w:t>
      </w:r>
      <w:r w:rsidR="00AD21FC">
        <w:rPr>
          <w:rFonts w:ascii="Verdana" w:eastAsia="Verdana" w:hAnsi="Verdana" w:cs="Verdana"/>
          <w:lang w:val="en-US"/>
        </w:rPr>
        <w:t xml:space="preserve"> </w:t>
      </w:r>
      <w:r w:rsidR="00065FD9" w:rsidRPr="007853BA">
        <w:rPr>
          <w:rFonts w:ascii="Verdana" w:hAnsi="Verdana"/>
          <w:lang w:val="en-US"/>
        </w:rPr>
        <w:t>R0160</w:t>
      </w:r>
      <w:r w:rsidRPr="007853BA">
        <w:rPr>
          <w:rFonts w:ascii="Verdana" w:hAnsi="Verdana"/>
          <w:lang w:val="en-US"/>
        </w:rPr>
        <w:t xml:space="preserve"> to </w:t>
      </w:r>
      <w:r w:rsidR="0014486A" w:rsidRPr="007853BA">
        <w:rPr>
          <w:rFonts w:ascii="Verdana" w:hAnsi="Verdana"/>
          <w:lang w:val="en-US"/>
        </w:rPr>
        <w:t>R</w:t>
      </w:r>
      <w:r w:rsidR="0014486A" w:rsidRPr="00AD7EC0">
        <w:rPr>
          <w:rFonts w:ascii="Verdana" w:eastAsia="Verdana" w:hAnsi="Verdana" w:cs="Verdana"/>
          <w:lang w:val="en-US"/>
        </w:rPr>
        <w:t>0260</w:t>
      </w:r>
      <w:r w:rsidRPr="007853BA">
        <w:rPr>
          <w:rFonts w:ascii="Verdana" w:hAnsi="Verdana"/>
          <w:lang w:val="en-US"/>
        </w:rPr>
        <w:t xml:space="preserve"> for life and non-life business.</w:t>
      </w:r>
      <w:r w:rsidR="001E6EA1">
        <w:rPr>
          <w:rFonts w:ascii="Verdana" w:hAnsi="Verdana"/>
          <w:lang w:val="en-US"/>
        </w:rPr>
        <w:t xml:space="preserve"> </w:t>
      </w:r>
      <w:r w:rsidRPr="007853BA">
        <w:rPr>
          <w:rFonts w:ascii="Verdana" w:hAnsi="Verdana"/>
          <w:lang w:val="en-US"/>
        </w:rPr>
        <w:t xml:space="preserve">However, please note that </w:t>
      </w:r>
      <w:r w:rsidRPr="00B63778">
        <w:rPr>
          <w:rFonts w:ascii="Verdana" w:hAnsi="Verdana"/>
          <w:lang w:val="en-US"/>
        </w:rPr>
        <w:t>th</w:t>
      </w:r>
      <w:r w:rsidR="00DA5C7B" w:rsidRPr="00741A17">
        <w:rPr>
          <w:rFonts w:ascii="Verdana" w:hAnsi="Verdana"/>
          <w:lang w:val="en-US"/>
        </w:rPr>
        <w:t>e</w:t>
      </w:r>
      <w:r w:rsidR="00DA5C7B" w:rsidRPr="007853BA">
        <w:rPr>
          <w:rFonts w:ascii="Verdana" w:hAnsi="Verdana"/>
          <w:lang w:val="en-US"/>
        </w:rPr>
        <w:t xml:space="preserve"> most important aspect of this template is </w:t>
      </w:r>
      <w:r w:rsidR="00AD21FC">
        <w:rPr>
          <w:rFonts w:ascii="Verdana" w:eastAsia="Verdana" w:hAnsi="Verdana" w:cs="Verdana"/>
          <w:lang w:val="en-US"/>
        </w:rPr>
        <w:t>that it should</w:t>
      </w:r>
      <w:r w:rsidR="00DA5C7B" w:rsidRPr="007140FC">
        <w:rPr>
          <w:rFonts w:ascii="Verdana" w:hAnsi="Verdana"/>
          <w:lang w:val="en-US"/>
        </w:rPr>
        <w:t xml:space="preserve"> reflect as much as possible the analysis performed by the un</w:t>
      </w:r>
      <w:r w:rsidR="00D106D6" w:rsidRPr="007140FC">
        <w:rPr>
          <w:rFonts w:ascii="Verdana" w:hAnsi="Verdana"/>
          <w:lang w:val="en-US"/>
        </w:rPr>
        <w:t>dertaking and keep it consistently over time.</w:t>
      </w:r>
      <w:r w:rsidR="005D6900" w:rsidRPr="007853BA">
        <w:rPr>
          <w:rFonts w:ascii="Verdana" w:hAnsi="Verdana"/>
          <w:lang w:val="en-US"/>
        </w:rPr>
        <w:t xml:space="preserve"> In case of doubt insurance undertakings should contact their </w:t>
      </w:r>
      <w:r w:rsidR="006104FE">
        <w:rPr>
          <w:rFonts w:ascii="Verdana" w:hAnsi="Verdana"/>
          <w:lang w:val="en-US"/>
        </w:rPr>
        <w:t>National Supervisory Authority</w:t>
      </w:r>
      <w:r w:rsidR="005D6900" w:rsidRPr="007853BA">
        <w:rPr>
          <w:rFonts w:ascii="Verdana" w:hAnsi="Verdana"/>
          <w:lang w:val="en-US"/>
        </w:rPr>
        <w:t>.</w:t>
      </w:r>
    </w:p>
    <w:p w:rsidR="0014486A" w:rsidRDefault="0014486A" w:rsidP="007853BA">
      <w:pPr>
        <w:pStyle w:val="ListParagraph"/>
        <w:ind w:left="709"/>
        <w:jc w:val="both"/>
        <w:rPr>
          <w:rFonts w:ascii="Verdana" w:hAnsi="Verdana"/>
          <w:lang w:val="en-US"/>
        </w:rPr>
      </w:pPr>
    </w:p>
    <w:p w:rsidR="0014486A" w:rsidRPr="007853BA" w:rsidRDefault="0014486A" w:rsidP="0024005B">
      <w:pPr>
        <w:pStyle w:val="ListParagraph"/>
        <w:numPr>
          <w:ilvl w:val="0"/>
          <w:numId w:val="9"/>
        </w:numPr>
        <w:ind w:left="709" w:hanging="709"/>
        <w:jc w:val="both"/>
        <w:rPr>
          <w:rFonts w:ascii="Verdana" w:hAnsi="Verdana"/>
          <w:lang w:val="en-US"/>
        </w:rPr>
      </w:pPr>
      <w:r w:rsidRPr="007853BA">
        <w:rPr>
          <w:rFonts w:ascii="Verdana" w:hAnsi="Verdana"/>
          <w:lang w:val="en-US"/>
        </w:rPr>
        <w:t>The amounts in “Opening Best Estimate” and “Closing Best Estimate”</w:t>
      </w:r>
      <w:r w:rsidRPr="007140FC">
        <w:rPr>
          <w:rFonts w:ascii="Verdana" w:hAnsi="Verdana"/>
          <w:lang w:val="en-US"/>
        </w:rPr>
        <w:t xml:space="preserve"> should be reported </w:t>
      </w:r>
      <w:r w:rsidR="00DE44D5">
        <w:rPr>
          <w:rFonts w:ascii="Verdana" w:hAnsi="Verdana"/>
          <w:lang w:val="en-US"/>
        </w:rPr>
        <w:t>with the same sig</w:t>
      </w:r>
      <w:r w:rsidR="009632B0">
        <w:rPr>
          <w:rFonts w:ascii="Verdana" w:hAnsi="Verdana"/>
          <w:lang w:val="en-US"/>
        </w:rPr>
        <w:t>n</w:t>
      </w:r>
      <w:r w:rsidR="002D660F">
        <w:rPr>
          <w:rFonts w:ascii="Verdana" w:hAnsi="Verdana"/>
          <w:lang w:val="en-US"/>
        </w:rPr>
        <w:t>al</w:t>
      </w:r>
      <w:r w:rsidR="009632B0">
        <w:rPr>
          <w:rFonts w:ascii="Verdana" w:hAnsi="Verdana"/>
          <w:lang w:val="en-US"/>
        </w:rPr>
        <w:t xml:space="preserve"> as reported in the balance-sheet</w:t>
      </w:r>
      <w:r w:rsidRPr="007140FC">
        <w:rPr>
          <w:rFonts w:ascii="Verdana" w:hAnsi="Verdana"/>
          <w:lang w:val="en-US"/>
        </w:rPr>
        <w:t>. The amounts reported from R0020</w:t>
      </w:r>
      <w:r>
        <w:rPr>
          <w:rFonts w:ascii="Verdana" w:hAnsi="Verdana"/>
          <w:lang w:val="en-US"/>
        </w:rPr>
        <w:t xml:space="preserve"> to </w:t>
      </w:r>
      <w:r w:rsidRPr="00AD7EC0">
        <w:rPr>
          <w:rFonts w:ascii="Verdana" w:eastAsia="Verdana" w:hAnsi="Verdana" w:cs="Verdana"/>
          <w:lang w:val="en-US"/>
        </w:rPr>
        <w:t>R01</w:t>
      </w:r>
      <w:r w:rsidR="00AD21FC">
        <w:rPr>
          <w:rFonts w:ascii="Verdana" w:eastAsia="Verdana" w:hAnsi="Verdana" w:cs="Verdana"/>
          <w:lang w:val="en-US"/>
        </w:rPr>
        <w:t>1</w:t>
      </w:r>
      <w:r w:rsidRPr="00AD7EC0">
        <w:rPr>
          <w:rFonts w:ascii="Verdana" w:eastAsia="Verdana" w:hAnsi="Verdana" w:cs="Verdana"/>
          <w:lang w:val="en-US"/>
        </w:rPr>
        <w:t xml:space="preserve">0 </w:t>
      </w:r>
      <w:r w:rsidR="00AD21FC">
        <w:rPr>
          <w:rFonts w:ascii="Verdana" w:eastAsia="Verdana" w:hAnsi="Verdana" w:cs="Verdana"/>
          <w:lang w:val="en-US"/>
        </w:rPr>
        <w:t xml:space="preserve">and from </w:t>
      </w:r>
      <w:r w:rsidRPr="00AD7EC0">
        <w:rPr>
          <w:rFonts w:ascii="Verdana" w:eastAsia="Verdana" w:hAnsi="Verdana" w:cs="Verdana"/>
          <w:lang w:val="en-US"/>
        </w:rPr>
        <w:t>R01</w:t>
      </w:r>
      <w:r w:rsidR="00AD21FC">
        <w:rPr>
          <w:rFonts w:ascii="Verdana" w:eastAsia="Verdana" w:hAnsi="Verdana" w:cs="Verdana"/>
          <w:lang w:val="en-US"/>
        </w:rPr>
        <w:t>6</w:t>
      </w:r>
      <w:r w:rsidRPr="00AD7EC0">
        <w:rPr>
          <w:rFonts w:ascii="Verdana" w:eastAsia="Verdana" w:hAnsi="Verdana" w:cs="Verdana"/>
          <w:lang w:val="en-US"/>
        </w:rPr>
        <w:t>0</w:t>
      </w:r>
      <w:r w:rsidR="00AD21FC">
        <w:rPr>
          <w:rFonts w:ascii="Verdana" w:eastAsia="Verdana" w:hAnsi="Verdana" w:cs="Verdana"/>
          <w:lang w:val="en-US"/>
        </w:rPr>
        <w:t xml:space="preserve"> to </w:t>
      </w:r>
      <w:r w:rsidRPr="007140FC">
        <w:rPr>
          <w:rFonts w:ascii="Verdana" w:hAnsi="Verdana"/>
          <w:lang w:val="en-US"/>
        </w:rPr>
        <w:t xml:space="preserve">R0260 should be positive if they increase the </w:t>
      </w:r>
      <w:r w:rsidR="009808E4">
        <w:rPr>
          <w:rFonts w:ascii="Verdana" w:hAnsi="Verdana"/>
          <w:lang w:val="en-US"/>
        </w:rPr>
        <w:t xml:space="preserve">closing </w:t>
      </w:r>
      <w:r w:rsidRPr="007140FC">
        <w:rPr>
          <w:rFonts w:ascii="Verdana" w:hAnsi="Verdana"/>
          <w:lang w:val="en-US"/>
        </w:rPr>
        <w:t xml:space="preserve">best estimate and negative if they decrease the </w:t>
      </w:r>
      <w:r w:rsidR="009808E4">
        <w:rPr>
          <w:rFonts w:ascii="Verdana" w:hAnsi="Verdana"/>
          <w:lang w:val="en-US"/>
        </w:rPr>
        <w:t xml:space="preserve">closing </w:t>
      </w:r>
      <w:r w:rsidRPr="007140FC">
        <w:rPr>
          <w:rFonts w:ascii="Verdana" w:hAnsi="Verdana"/>
          <w:lang w:val="en-US"/>
        </w:rPr>
        <w:t xml:space="preserve">best estimate. </w:t>
      </w:r>
    </w:p>
    <w:tbl>
      <w:tblPr>
        <w:tblW w:w="9180" w:type="dxa"/>
        <w:tblLayout w:type="fixed"/>
        <w:tblLook w:val="04A0" w:firstRow="1" w:lastRow="0" w:firstColumn="1" w:lastColumn="0" w:noHBand="0" w:noVBand="1"/>
      </w:tblPr>
      <w:tblGrid>
        <w:gridCol w:w="1951"/>
        <w:gridCol w:w="2268"/>
        <w:gridCol w:w="2268"/>
        <w:gridCol w:w="2693"/>
      </w:tblGrid>
      <w:tr w:rsidR="00B955D6" w:rsidRPr="00B14669" w:rsidTr="005412A6">
        <w:tc>
          <w:tcPr>
            <w:tcW w:w="1951" w:type="dxa"/>
            <w:tcBorders>
              <w:top w:val="single" w:sz="4" w:space="0" w:color="auto"/>
              <w:left w:val="single" w:sz="4" w:space="0" w:color="auto"/>
              <w:bottom w:val="single" w:sz="4" w:space="0" w:color="auto"/>
              <w:right w:val="single" w:sz="4" w:space="0" w:color="auto"/>
            </w:tcBorders>
          </w:tcPr>
          <w:p w:rsidR="00B955D6" w:rsidRPr="00B14669" w:rsidRDefault="00B955D6" w:rsidP="00B14669">
            <w:pPr>
              <w:jc w:val="center"/>
              <w:rPr>
                <w:b/>
                <w:lang w:val="en-US"/>
              </w:rPr>
            </w:pPr>
          </w:p>
        </w:tc>
        <w:tc>
          <w:tcPr>
            <w:tcW w:w="2268" w:type="dxa"/>
            <w:tcBorders>
              <w:top w:val="single" w:sz="4" w:space="0" w:color="auto"/>
              <w:left w:val="single" w:sz="4" w:space="0" w:color="auto"/>
              <w:bottom w:val="single" w:sz="4" w:space="0" w:color="auto"/>
              <w:right w:val="single" w:sz="4" w:space="0" w:color="auto"/>
            </w:tcBorders>
          </w:tcPr>
          <w:p w:rsidR="00B955D6" w:rsidRPr="00B14669" w:rsidRDefault="00B955D6" w:rsidP="00B14669">
            <w:pPr>
              <w:jc w:val="center"/>
              <w:rPr>
                <w:b/>
                <w:lang w:val="en-US"/>
              </w:rPr>
            </w:pPr>
            <w:r>
              <w:rPr>
                <w:b/>
                <w:lang w:val="en-US"/>
              </w:rPr>
              <w:t>Instructions</w:t>
            </w:r>
            <w:r w:rsidRPr="00B14669">
              <w:rPr>
                <w:b/>
                <w:lang w:val="en-US"/>
              </w:rPr>
              <w:t xml:space="preserve"> summary</w:t>
            </w:r>
          </w:p>
        </w:tc>
        <w:tc>
          <w:tcPr>
            <w:tcW w:w="2268" w:type="dxa"/>
            <w:tcBorders>
              <w:top w:val="single" w:sz="4" w:space="0" w:color="auto"/>
              <w:left w:val="single" w:sz="4" w:space="0" w:color="auto"/>
              <w:bottom w:val="single" w:sz="4" w:space="0" w:color="auto"/>
              <w:right w:val="single" w:sz="4" w:space="0" w:color="auto"/>
            </w:tcBorders>
          </w:tcPr>
          <w:p w:rsidR="00B955D6" w:rsidRPr="007853BA" w:rsidRDefault="00B955D6" w:rsidP="00B14669">
            <w:pPr>
              <w:jc w:val="center"/>
              <w:rPr>
                <w:b/>
                <w:lang w:val="en-US"/>
              </w:rPr>
            </w:pPr>
            <w:r w:rsidRPr="00B14669">
              <w:rPr>
                <w:b/>
                <w:lang w:val="en-US"/>
              </w:rPr>
              <w:t>Life example</w:t>
            </w:r>
            <w:r w:rsidRPr="2F4470A3">
              <w:rPr>
                <w:b/>
                <w:lang w:val="en-US"/>
              </w:rPr>
              <w:t>/Additional comment</w:t>
            </w:r>
          </w:p>
        </w:tc>
        <w:tc>
          <w:tcPr>
            <w:tcW w:w="2693" w:type="dxa"/>
            <w:tcBorders>
              <w:top w:val="single" w:sz="4" w:space="0" w:color="auto"/>
              <w:left w:val="single" w:sz="4" w:space="0" w:color="auto"/>
              <w:bottom w:val="single" w:sz="4" w:space="0" w:color="auto"/>
              <w:right w:val="single" w:sz="4" w:space="0" w:color="auto"/>
            </w:tcBorders>
          </w:tcPr>
          <w:p w:rsidR="00B955D6" w:rsidRPr="007853BA" w:rsidRDefault="00B955D6" w:rsidP="00B14669">
            <w:pPr>
              <w:jc w:val="center"/>
              <w:rPr>
                <w:b/>
                <w:lang w:val="en-US"/>
              </w:rPr>
            </w:pPr>
            <w:r w:rsidRPr="007853BA">
              <w:rPr>
                <w:b/>
                <w:lang w:val="en-US"/>
              </w:rPr>
              <w:t>Non-life example</w:t>
            </w:r>
            <w:r w:rsidRPr="2F4470A3">
              <w:rPr>
                <w:b/>
                <w:lang w:val="en-US"/>
              </w:rPr>
              <w:t>/Additional comment</w:t>
            </w:r>
          </w:p>
        </w:tc>
      </w:tr>
      <w:tr w:rsidR="00B955D6" w:rsidRPr="00393BBA" w:rsidTr="005412A6">
        <w:tc>
          <w:tcPr>
            <w:tcW w:w="1951" w:type="dxa"/>
            <w:tcBorders>
              <w:top w:val="single" w:sz="4" w:space="0" w:color="auto"/>
              <w:left w:val="single" w:sz="4" w:space="0" w:color="auto"/>
              <w:bottom w:val="single" w:sz="4" w:space="0" w:color="auto"/>
              <w:right w:val="single" w:sz="4" w:space="0" w:color="auto"/>
            </w:tcBorders>
          </w:tcPr>
          <w:p w:rsidR="00B955D6" w:rsidRPr="005D6900" w:rsidRDefault="00B955D6" w:rsidP="00B14669">
            <w:pPr>
              <w:rPr>
                <w:lang w:val="en-US"/>
              </w:rPr>
            </w:pPr>
            <w:r w:rsidRPr="005D6900">
              <w:rPr>
                <w:lang w:val="en-US"/>
              </w:rPr>
              <w:t>Exceptional elements triggering restating of opening Best Estimate</w:t>
            </w:r>
            <w:r>
              <w:rPr>
                <w:lang w:val="en-US"/>
              </w:rPr>
              <w:t xml:space="preserve"> (R0020/R0160)</w:t>
            </w:r>
          </w:p>
        </w:tc>
        <w:tc>
          <w:tcPr>
            <w:tcW w:w="2268" w:type="dxa"/>
            <w:tcBorders>
              <w:top w:val="single" w:sz="4" w:space="0" w:color="auto"/>
              <w:left w:val="single" w:sz="4" w:space="0" w:color="auto"/>
              <w:bottom w:val="single" w:sz="4" w:space="0" w:color="auto"/>
              <w:right w:val="single" w:sz="4" w:space="0" w:color="auto"/>
            </w:tcBorders>
          </w:tcPr>
          <w:p w:rsidR="00B955D6" w:rsidRDefault="00B955D6">
            <w:pPr>
              <w:spacing w:after="240"/>
              <w:rPr>
                <w:lang w:val="en-US"/>
              </w:rPr>
            </w:pPr>
            <w:r w:rsidRPr="00AD7EC0">
              <w:rPr>
                <w:lang w:val="en-US"/>
              </w:rPr>
              <w:t xml:space="preserve">Shall essentially concern </w:t>
            </w:r>
            <w:r w:rsidR="00FF04F5">
              <w:rPr>
                <w:lang w:val="en-US"/>
              </w:rPr>
              <w:t xml:space="preserve">material </w:t>
            </w:r>
            <w:r w:rsidRPr="00AD7EC0">
              <w:rPr>
                <w:lang w:val="en-US"/>
              </w:rPr>
              <w:t>changes in models (in case models are used), correction of models and other modifications to the models. It shall not concern changes in assumptions.</w:t>
            </w:r>
          </w:p>
          <w:p w:rsidR="00FF04F5" w:rsidRPr="005D6900" w:rsidRDefault="00FF04F5">
            <w:pPr>
              <w:spacing w:after="240"/>
              <w:rPr>
                <w:lang w:val="en-US"/>
              </w:rPr>
            </w:pPr>
            <w:r>
              <w:rPr>
                <w:lang w:val="en-US"/>
              </w:rPr>
              <w:t xml:space="preserve">It should only relate to changes in amounts of best estimate that were in the opening best estimate and remain in the closing best estimate. </w:t>
            </w:r>
          </w:p>
        </w:tc>
        <w:tc>
          <w:tcPr>
            <w:tcW w:w="2268" w:type="dxa"/>
            <w:tcBorders>
              <w:top w:val="single" w:sz="4" w:space="0" w:color="auto"/>
              <w:left w:val="single" w:sz="4" w:space="0" w:color="auto"/>
              <w:bottom w:val="single" w:sz="4" w:space="0" w:color="auto"/>
              <w:right w:val="single" w:sz="4" w:space="0" w:color="auto"/>
            </w:tcBorders>
          </w:tcPr>
          <w:p w:rsidR="00B955D6" w:rsidRPr="005D6900" w:rsidRDefault="00B955D6" w:rsidP="00B14669">
            <w:pPr>
              <w:rPr>
                <w:lang w:val="en-US"/>
              </w:rPr>
            </w:pPr>
            <w:r w:rsidRPr="00F5493F">
              <w:rPr>
                <w:lang w:val="en-US"/>
              </w:rPr>
              <w:t>These cells are expected to be mostly applicable for Life business</w:t>
            </w:r>
            <w:r>
              <w:rPr>
                <w:lang w:val="en-US"/>
              </w:rPr>
              <w:t>.</w:t>
            </w:r>
          </w:p>
        </w:tc>
        <w:tc>
          <w:tcPr>
            <w:tcW w:w="2693" w:type="dxa"/>
            <w:tcBorders>
              <w:top w:val="single" w:sz="4" w:space="0" w:color="auto"/>
              <w:left w:val="single" w:sz="4" w:space="0" w:color="auto"/>
              <w:bottom w:val="single" w:sz="4" w:space="0" w:color="auto"/>
              <w:right w:val="single" w:sz="4" w:space="0" w:color="auto"/>
            </w:tcBorders>
          </w:tcPr>
          <w:p w:rsidR="00B955D6" w:rsidRPr="005D6900" w:rsidRDefault="00B955D6" w:rsidP="00B14669">
            <w:pPr>
              <w:rPr>
                <w:lang w:val="en-US"/>
              </w:rPr>
            </w:pPr>
            <w:r>
              <w:rPr>
                <w:lang w:val="en-US"/>
              </w:rPr>
              <w:t>Expected not to be applicable due to case reserving.</w:t>
            </w:r>
          </w:p>
        </w:tc>
      </w:tr>
      <w:tr w:rsidR="00B955D6" w:rsidRPr="00393BBA" w:rsidTr="005412A6">
        <w:tc>
          <w:tcPr>
            <w:tcW w:w="1951" w:type="dxa"/>
            <w:tcBorders>
              <w:top w:val="single" w:sz="4" w:space="0" w:color="auto"/>
              <w:left w:val="single" w:sz="4" w:space="0" w:color="auto"/>
              <w:bottom w:val="single" w:sz="4" w:space="0" w:color="auto"/>
              <w:right w:val="single" w:sz="4" w:space="0" w:color="auto"/>
            </w:tcBorders>
          </w:tcPr>
          <w:p w:rsidR="00B955D6" w:rsidRPr="00B14669" w:rsidRDefault="00B955D6" w:rsidP="00B14669">
            <w:pPr>
              <w:rPr>
                <w:lang w:val="en-US"/>
              </w:rPr>
            </w:pPr>
            <w:r w:rsidRPr="00B14669">
              <w:rPr>
                <w:lang w:val="en-US"/>
              </w:rPr>
              <w:t>Changes in perimeter</w:t>
            </w:r>
            <w:r>
              <w:rPr>
                <w:lang w:val="en-US"/>
              </w:rPr>
              <w:t xml:space="preserve"> (R0030/R0170)</w:t>
            </w:r>
          </w:p>
        </w:tc>
        <w:tc>
          <w:tcPr>
            <w:tcW w:w="2268" w:type="dxa"/>
            <w:tcBorders>
              <w:top w:val="single" w:sz="4" w:space="0" w:color="auto"/>
              <w:left w:val="single" w:sz="4" w:space="0" w:color="auto"/>
              <w:bottom w:val="single" w:sz="4" w:space="0" w:color="auto"/>
              <w:right w:val="single" w:sz="4" w:space="0" w:color="auto"/>
            </w:tcBorders>
          </w:tcPr>
          <w:p w:rsidR="00B955D6" w:rsidRPr="005D6900" w:rsidRDefault="00B955D6" w:rsidP="00B14669">
            <w:pPr>
              <w:rPr>
                <w:lang w:val="en-US"/>
              </w:rPr>
            </w:pPr>
            <w:r w:rsidRPr="00AD7EC0">
              <w:rPr>
                <w:lang w:val="en-US"/>
              </w:rPr>
              <w:t>Amount of adjustment to opening Best Estimate related to changes in perimeter of the portfolio like sales of (part of) portfolio and purchases. This could also concern changes of perimeter due to liabilities evolving to annuities stemming from Non-Life contracts (triggering some changes from Non-Life to Life).</w:t>
            </w:r>
          </w:p>
        </w:tc>
        <w:tc>
          <w:tcPr>
            <w:tcW w:w="2268" w:type="dxa"/>
            <w:tcBorders>
              <w:top w:val="single" w:sz="4" w:space="0" w:color="auto"/>
              <w:left w:val="single" w:sz="4" w:space="0" w:color="auto"/>
              <w:bottom w:val="single" w:sz="4" w:space="0" w:color="auto"/>
              <w:right w:val="single" w:sz="4" w:space="0" w:color="auto"/>
            </w:tcBorders>
          </w:tcPr>
          <w:p w:rsidR="00B955D6" w:rsidRDefault="00B955D6" w:rsidP="00B14669">
            <w:pPr>
              <w:rPr>
                <w:lang w:val="en-US"/>
              </w:rPr>
            </w:pPr>
            <w:r>
              <w:rPr>
                <w:lang w:val="en-US"/>
              </w:rPr>
              <w:t>Regarding annuities, the amounts reported in S.29.03 should be discounted. Even if a link to S.16.01 is expected, the amounts will be different.</w:t>
            </w:r>
          </w:p>
          <w:p w:rsidR="00B955D6" w:rsidRPr="005D6900" w:rsidRDefault="00B955D6" w:rsidP="00B14669">
            <w:pPr>
              <w:rPr>
                <w:lang w:val="en-US"/>
              </w:rPr>
            </w:pPr>
            <w:r>
              <w:rPr>
                <w:lang w:val="en-US"/>
              </w:rPr>
              <w:t xml:space="preserve">Purchase of a life portfolio from another company is another example. </w:t>
            </w:r>
          </w:p>
        </w:tc>
        <w:tc>
          <w:tcPr>
            <w:tcW w:w="2693" w:type="dxa"/>
            <w:tcBorders>
              <w:top w:val="single" w:sz="4" w:space="0" w:color="auto"/>
              <w:left w:val="single" w:sz="4" w:space="0" w:color="auto"/>
              <w:bottom w:val="single" w:sz="4" w:space="0" w:color="auto"/>
              <w:right w:val="single" w:sz="4" w:space="0" w:color="auto"/>
            </w:tcBorders>
          </w:tcPr>
          <w:p w:rsidR="00B955D6" w:rsidRDefault="00B955D6" w:rsidP="00B14669">
            <w:pPr>
              <w:rPr>
                <w:lang w:val="en-US"/>
              </w:rPr>
            </w:pPr>
            <w:r>
              <w:rPr>
                <w:lang w:val="en-US"/>
              </w:rPr>
              <w:t>Purchase of a portfolio from another company.</w:t>
            </w:r>
          </w:p>
          <w:p w:rsidR="00B955D6" w:rsidRPr="00AD7EC0" w:rsidRDefault="00B955D6" w:rsidP="00B14669">
            <w:pPr>
              <w:rPr>
                <w:lang w:val="en-US"/>
              </w:rPr>
            </w:pPr>
            <w:r>
              <w:rPr>
                <w:lang w:val="en-US"/>
              </w:rPr>
              <w:t>Would mainly</w:t>
            </w:r>
            <w:r w:rsidDel="00EA1D67">
              <w:rPr>
                <w:lang w:val="en-US"/>
              </w:rPr>
              <w:t xml:space="preserve"> </w:t>
            </w:r>
            <w:r>
              <w:rPr>
                <w:lang w:val="en-US"/>
              </w:rPr>
              <w:t xml:space="preserve">also be seen following the recognition of annuities </w:t>
            </w:r>
            <w:r w:rsidRPr="00AD7EC0">
              <w:rPr>
                <w:lang w:val="en-US"/>
              </w:rPr>
              <w:t>stemming from Non-Life contracts.</w:t>
            </w:r>
          </w:p>
          <w:p w:rsidR="00B955D6" w:rsidRPr="005D6900" w:rsidRDefault="00B955D6" w:rsidP="00B14669">
            <w:pPr>
              <w:rPr>
                <w:lang w:val="en-US"/>
              </w:rPr>
            </w:pPr>
            <w:r w:rsidRPr="00AD7EC0">
              <w:rPr>
                <w:lang w:val="en-US"/>
              </w:rPr>
              <w:t xml:space="preserve">Accordingly, in case annuities are derecognised from Non-Life to Life, both columns need to be filled in.  </w:t>
            </w:r>
          </w:p>
        </w:tc>
      </w:tr>
      <w:tr w:rsidR="00B955D6" w:rsidRPr="00393BBA" w:rsidTr="005412A6">
        <w:tc>
          <w:tcPr>
            <w:tcW w:w="1951" w:type="dxa"/>
            <w:tcBorders>
              <w:top w:val="single" w:sz="4" w:space="0" w:color="auto"/>
              <w:left w:val="single" w:sz="4" w:space="0" w:color="auto"/>
              <w:bottom w:val="single" w:sz="4" w:space="0" w:color="auto"/>
              <w:right w:val="single" w:sz="4" w:space="0" w:color="auto"/>
            </w:tcBorders>
          </w:tcPr>
          <w:p w:rsidR="00B955D6" w:rsidRPr="00B14669" w:rsidRDefault="00B955D6" w:rsidP="00B14669">
            <w:pPr>
              <w:rPr>
                <w:lang w:val="en-US"/>
              </w:rPr>
            </w:pPr>
            <w:r w:rsidRPr="00B14669">
              <w:rPr>
                <w:lang w:val="en-US"/>
              </w:rPr>
              <w:t>Foreign exchange variation</w:t>
            </w:r>
            <w:r>
              <w:rPr>
                <w:lang w:val="en-US"/>
              </w:rPr>
              <w:t xml:space="preserve"> (R0040/R0180)</w:t>
            </w:r>
          </w:p>
        </w:tc>
        <w:tc>
          <w:tcPr>
            <w:tcW w:w="2268" w:type="dxa"/>
            <w:tcBorders>
              <w:top w:val="single" w:sz="4" w:space="0" w:color="auto"/>
              <w:left w:val="single" w:sz="4" w:space="0" w:color="auto"/>
              <w:bottom w:val="single" w:sz="4" w:space="0" w:color="auto"/>
              <w:right w:val="single" w:sz="4" w:space="0" w:color="auto"/>
            </w:tcBorders>
          </w:tcPr>
          <w:p w:rsidR="00B955D6" w:rsidRPr="005D6900" w:rsidRDefault="00B955D6" w:rsidP="00B14669">
            <w:pPr>
              <w:rPr>
                <w:lang w:val="en-US"/>
              </w:rPr>
            </w:pPr>
            <w:r w:rsidRPr="00AD7EC0">
              <w:rPr>
                <w:lang w:val="en-US"/>
              </w:rPr>
              <w:t xml:space="preserve">In this case the foreign exchange variation is actually meant to be applied to contracts which are taken out in currencies different from the balance sheet currency. For the calculation, the cash-flows of these contracts contained in the opening Best Estimate are simply converted due to the exchange variation.  </w:t>
            </w:r>
          </w:p>
        </w:tc>
        <w:tc>
          <w:tcPr>
            <w:tcW w:w="2268" w:type="dxa"/>
            <w:tcBorders>
              <w:top w:val="single" w:sz="4" w:space="0" w:color="auto"/>
              <w:left w:val="single" w:sz="4" w:space="0" w:color="auto"/>
              <w:bottom w:val="single" w:sz="4" w:space="0" w:color="auto"/>
              <w:right w:val="single" w:sz="4" w:space="0" w:color="auto"/>
            </w:tcBorders>
          </w:tcPr>
          <w:p w:rsidR="00A31A47" w:rsidRDefault="00A31A47">
            <w:r>
              <w:rPr>
                <w:lang w:val="en-US"/>
              </w:rPr>
              <w:t xml:space="preserve">Applies to responsabilities that have </w:t>
            </w:r>
            <w:r>
              <w:t>Cash-Flows calculated in different currencies.</w:t>
            </w:r>
          </w:p>
          <w:p w:rsidR="00B955D6" w:rsidRPr="005D6900" w:rsidRDefault="00B955D6">
            <w:pPr>
              <w:rPr>
                <w:lang w:val="en-US"/>
              </w:rPr>
            </w:pPr>
            <w:r>
              <w:rPr>
                <w:lang w:val="en-US"/>
              </w:rPr>
              <w:t>Allows the comparison of opening and closing best estimate as if no foreign exchange variation have occurred.</w:t>
            </w:r>
          </w:p>
        </w:tc>
        <w:tc>
          <w:tcPr>
            <w:tcW w:w="2693" w:type="dxa"/>
            <w:tcBorders>
              <w:top w:val="single" w:sz="4" w:space="0" w:color="auto"/>
              <w:left w:val="single" w:sz="4" w:space="0" w:color="auto"/>
              <w:bottom w:val="single" w:sz="4" w:space="0" w:color="auto"/>
              <w:right w:val="single" w:sz="4" w:space="0" w:color="auto"/>
            </w:tcBorders>
          </w:tcPr>
          <w:p w:rsidR="00A31A47" w:rsidRDefault="00A31A47" w:rsidP="00A31A47">
            <w:r>
              <w:rPr>
                <w:lang w:val="en-US"/>
              </w:rPr>
              <w:t xml:space="preserve">Applies to responsabilities that have </w:t>
            </w:r>
            <w:r>
              <w:t>Cash-Flows calculated in different currencies.</w:t>
            </w:r>
          </w:p>
          <w:p w:rsidR="00B955D6" w:rsidRPr="005D6900" w:rsidRDefault="00B955D6" w:rsidP="00B14669">
            <w:pPr>
              <w:rPr>
                <w:lang w:val="en-US"/>
              </w:rPr>
            </w:pPr>
            <w:r>
              <w:rPr>
                <w:lang w:val="en-US"/>
              </w:rPr>
              <w:t>Allows the comparison of opening and closing best estimate as if no foreign exchange variation have occurred.</w:t>
            </w:r>
          </w:p>
        </w:tc>
      </w:tr>
      <w:tr w:rsidR="00B955D6" w:rsidRPr="00393BBA" w:rsidTr="005412A6">
        <w:tc>
          <w:tcPr>
            <w:tcW w:w="1951" w:type="dxa"/>
            <w:tcBorders>
              <w:top w:val="single" w:sz="4" w:space="0" w:color="auto"/>
              <w:left w:val="single" w:sz="4" w:space="0" w:color="auto"/>
              <w:bottom w:val="single" w:sz="4" w:space="0" w:color="auto"/>
              <w:right w:val="single" w:sz="4" w:space="0" w:color="auto"/>
            </w:tcBorders>
          </w:tcPr>
          <w:p w:rsidR="00B955D6" w:rsidRPr="00B14669" w:rsidRDefault="00B955D6" w:rsidP="005D6900">
            <w:pPr>
              <w:rPr>
                <w:lang w:val="en-US"/>
              </w:rPr>
            </w:pPr>
            <w:r w:rsidRPr="00B14669">
              <w:rPr>
                <w:lang w:val="en-US"/>
              </w:rPr>
              <w:t>Best Estimate on risks accepted during the period (only for underwriting year) R0050</w:t>
            </w:r>
          </w:p>
        </w:tc>
        <w:tc>
          <w:tcPr>
            <w:tcW w:w="2268" w:type="dxa"/>
            <w:tcBorders>
              <w:top w:val="single" w:sz="4" w:space="0" w:color="auto"/>
              <w:left w:val="single" w:sz="4" w:space="0" w:color="auto"/>
              <w:bottom w:val="single" w:sz="4" w:space="0" w:color="auto"/>
              <w:right w:val="single" w:sz="4" w:space="0" w:color="auto"/>
            </w:tcBorders>
          </w:tcPr>
          <w:p w:rsidR="00B955D6" w:rsidRPr="00B14669" w:rsidDel="005D6900" w:rsidRDefault="00B955D6" w:rsidP="005D6900">
            <w:pPr>
              <w:rPr>
                <w:lang w:val="en-US"/>
              </w:rPr>
            </w:pPr>
            <w:r w:rsidRPr="00B14669">
              <w:rPr>
                <w:lang w:val="en-US"/>
              </w:rPr>
              <w:t>Expected future cash flows (gross of reinsurance) included in Best Estimate and related to risks accepted during the period</w:t>
            </w:r>
          </w:p>
        </w:tc>
        <w:tc>
          <w:tcPr>
            <w:tcW w:w="2268" w:type="dxa"/>
            <w:tcBorders>
              <w:top w:val="single" w:sz="4" w:space="0" w:color="auto"/>
              <w:left w:val="single" w:sz="4" w:space="0" w:color="auto"/>
              <w:bottom w:val="single" w:sz="4" w:space="0" w:color="auto"/>
              <w:right w:val="single" w:sz="4" w:space="0" w:color="auto"/>
            </w:tcBorders>
          </w:tcPr>
          <w:p w:rsidR="00B955D6" w:rsidRPr="005D6900" w:rsidRDefault="00B955D6">
            <w:pPr>
              <w:rPr>
                <w:lang w:val="en-US"/>
              </w:rPr>
            </w:pPr>
            <w:r w:rsidRPr="00B14669">
              <w:rPr>
                <w:lang w:val="en-US"/>
              </w:rPr>
              <w:t>Expected future cash flows (gross of reinsurance) related to risks accepted during the period</w:t>
            </w:r>
            <w:r>
              <w:rPr>
                <w:lang w:val="en-US"/>
              </w:rPr>
              <w:t>.</w:t>
            </w:r>
          </w:p>
        </w:tc>
        <w:tc>
          <w:tcPr>
            <w:tcW w:w="2693" w:type="dxa"/>
            <w:tcBorders>
              <w:top w:val="single" w:sz="4" w:space="0" w:color="auto"/>
              <w:left w:val="single" w:sz="4" w:space="0" w:color="auto"/>
              <w:bottom w:val="single" w:sz="4" w:space="0" w:color="auto"/>
              <w:right w:val="single" w:sz="4" w:space="0" w:color="auto"/>
            </w:tcBorders>
          </w:tcPr>
          <w:p w:rsidR="00B955D6" w:rsidRDefault="00B955D6" w:rsidP="005D6900">
            <w:pPr>
              <w:rPr>
                <w:lang w:val="en-US"/>
              </w:rPr>
            </w:pPr>
            <w:r w:rsidRPr="00B14669">
              <w:rPr>
                <w:lang w:val="en-US"/>
              </w:rPr>
              <w:t xml:space="preserve">Premium and claim </w:t>
            </w:r>
            <w:r>
              <w:rPr>
                <w:lang w:val="en-US"/>
              </w:rPr>
              <w:t xml:space="preserve">provision best estimate </w:t>
            </w:r>
            <w:r w:rsidRPr="00B14669">
              <w:rPr>
                <w:lang w:val="en-US"/>
              </w:rPr>
              <w:t>increase due to risks accepted during the period</w:t>
            </w:r>
            <w:r>
              <w:rPr>
                <w:lang w:val="en-US"/>
              </w:rPr>
              <w:t>.</w:t>
            </w:r>
          </w:p>
          <w:p w:rsidR="00B955D6" w:rsidRPr="008674E7" w:rsidRDefault="00B955D6" w:rsidP="008674E7">
            <w:pPr>
              <w:rPr>
                <w:lang w:val="en-US"/>
              </w:rPr>
            </w:pPr>
            <w:r w:rsidRPr="008674E7">
              <w:rPr>
                <w:lang w:val="en-US"/>
              </w:rPr>
              <w:t xml:space="preserve">Risks accepted during the period should include any new responsibilities not reflected in the opening best estimate, i.e. not foreseen in the projected cash-flows, be it from new contracts, new premiums, premiums increase, etc. </w:t>
            </w:r>
          </w:p>
          <w:p w:rsidR="00B955D6" w:rsidRPr="008674E7" w:rsidRDefault="00B955D6" w:rsidP="008674E7">
            <w:pPr>
              <w:rPr>
                <w:lang w:val="en-US"/>
              </w:rPr>
            </w:pPr>
            <w:r w:rsidRPr="008674E7">
              <w:rPr>
                <w:lang w:val="en-US"/>
              </w:rPr>
              <w:t>Examples: an existing group insurance where new persons join the group, and where this was not reflected in the open</w:t>
            </w:r>
            <w:r>
              <w:rPr>
                <w:lang w:val="en-US"/>
              </w:rPr>
              <w:t>ing</w:t>
            </w:r>
            <w:r w:rsidRPr="008674E7">
              <w:rPr>
                <w:lang w:val="en-US"/>
              </w:rPr>
              <w:t xml:space="preserve"> BE should be considered as "risk accepted during the period". </w:t>
            </w:r>
          </w:p>
          <w:p w:rsidR="00B955D6" w:rsidRPr="00B14669" w:rsidRDefault="00B955D6">
            <w:pPr>
              <w:rPr>
                <w:lang w:val="en-US"/>
              </w:rPr>
            </w:pPr>
            <w:r w:rsidRPr="008674E7">
              <w:rPr>
                <w:lang w:val="en-US"/>
              </w:rPr>
              <w:t>The trigger for the split between "risks accepted during "or "before" the period should</w:t>
            </w:r>
            <w:r w:rsidR="008B1457">
              <w:rPr>
                <w:lang w:val="en-US"/>
              </w:rPr>
              <w:t xml:space="preserve"> be</w:t>
            </w:r>
            <w:r w:rsidRPr="008674E7">
              <w:rPr>
                <w:lang w:val="en-US"/>
              </w:rPr>
              <w:t xml:space="preserve"> if the C</w:t>
            </w:r>
            <w:r>
              <w:rPr>
                <w:lang w:val="en-US"/>
              </w:rPr>
              <w:t>ash-</w:t>
            </w:r>
            <w:r w:rsidRPr="008674E7">
              <w:rPr>
                <w:lang w:val="en-US"/>
              </w:rPr>
              <w:t>F</w:t>
            </w:r>
            <w:r>
              <w:rPr>
                <w:lang w:val="en-US"/>
              </w:rPr>
              <w:t>lows</w:t>
            </w:r>
            <w:r w:rsidRPr="008674E7">
              <w:rPr>
                <w:lang w:val="en-US"/>
              </w:rPr>
              <w:t xml:space="preserve"> were considered in </w:t>
            </w:r>
            <w:r>
              <w:rPr>
                <w:lang w:val="en-US"/>
              </w:rPr>
              <w:t>the</w:t>
            </w:r>
            <w:r w:rsidRPr="008674E7">
              <w:rPr>
                <w:lang w:val="en-US"/>
              </w:rPr>
              <w:t xml:space="preserve"> </w:t>
            </w:r>
            <w:r>
              <w:rPr>
                <w:lang w:val="en-US"/>
              </w:rPr>
              <w:t xml:space="preserve">opeining </w:t>
            </w:r>
            <w:r w:rsidRPr="008674E7">
              <w:rPr>
                <w:lang w:val="en-US"/>
              </w:rPr>
              <w:t>BE or not and not if the undertaking has the power to reject the new responsibility.</w:t>
            </w:r>
          </w:p>
        </w:tc>
      </w:tr>
      <w:tr w:rsidR="00B955D6" w:rsidRPr="00393BBA" w:rsidTr="005412A6">
        <w:tc>
          <w:tcPr>
            <w:tcW w:w="1951" w:type="dxa"/>
            <w:tcBorders>
              <w:top w:val="single" w:sz="4" w:space="0" w:color="auto"/>
              <w:left w:val="single" w:sz="4" w:space="0" w:color="auto"/>
              <w:bottom w:val="single" w:sz="4" w:space="0" w:color="auto"/>
              <w:right w:val="single" w:sz="4" w:space="0" w:color="auto"/>
            </w:tcBorders>
          </w:tcPr>
          <w:p w:rsidR="00B955D6" w:rsidRPr="00B14669" w:rsidRDefault="00B955D6" w:rsidP="00B14669">
            <w:pPr>
              <w:rPr>
                <w:lang w:val="en-US"/>
              </w:rPr>
            </w:pPr>
            <w:r w:rsidRPr="00B14669">
              <w:rPr>
                <w:lang w:val="en-US"/>
              </w:rPr>
              <w:t>Variation of Best Estimate on risk covered after the period</w:t>
            </w:r>
            <w:r>
              <w:rPr>
                <w:lang w:val="en-US"/>
              </w:rPr>
              <w:t xml:space="preserve"> (only for accident year) R0190</w:t>
            </w:r>
          </w:p>
        </w:tc>
        <w:tc>
          <w:tcPr>
            <w:tcW w:w="2268" w:type="dxa"/>
            <w:tcBorders>
              <w:top w:val="single" w:sz="4" w:space="0" w:color="auto"/>
              <w:left w:val="single" w:sz="4" w:space="0" w:color="auto"/>
              <w:bottom w:val="single" w:sz="4" w:space="0" w:color="auto"/>
              <w:right w:val="single" w:sz="4" w:space="0" w:color="auto"/>
            </w:tcBorders>
          </w:tcPr>
          <w:p w:rsidR="00B955D6" w:rsidRPr="005D6900" w:rsidRDefault="00B955D6" w:rsidP="005412A6">
            <w:pPr>
              <w:rPr>
                <w:lang w:val="en-US"/>
              </w:rPr>
            </w:pPr>
            <w:r w:rsidRPr="00AD7EC0">
              <w:rPr>
                <w:lang w:val="en-US"/>
              </w:rPr>
              <w:t xml:space="preserve">Refers to changes in (part of) Premiums Provisions (i.e. in relation to all recognised obligations within the boundary of the contract at the valuation date where the claim has not yet occurred) </w:t>
            </w:r>
            <w:r>
              <w:rPr>
                <w:lang w:val="en-US"/>
              </w:rPr>
              <w:t xml:space="preserve">– see </w:t>
            </w:r>
            <w:r w:rsidR="005412A6">
              <w:rPr>
                <w:lang w:val="en-US"/>
              </w:rPr>
              <w:t xml:space="preserve">proposal to correct/amend Instructions to be published by end of March. </w:t>
            </w:r>
          </w:p>
        </w:tc>
        <w:tc>
          <w:tcPr>
            <w:tcW w:w="2268" w:type="dxa"/>
            <w:tcBorders>
              <w:top w:val="single" w:sz="4" w:space="0" w:color="auto"/>
              <w:left w:val="single" w:sz="4" w:space="0" w:color="auto"/>
              <w:bottom w:val="single" w:sz="4" w:space="0" w:color="auto"/>
              <w:right w:val="single" w:sz="4" w:space="0" w:color="auto"/>
            </w:tcBorders>
          </w:tcPr>
          <w:p w:rsidR="00B955D6" w:rsidRPr="005D6900" w:rsidRDefault="00B955D6">
            <w:pPr>
              <w:rPr>
                <w:lang w:val="en-US"/>
              </w:rPr>
            </w:pPr>
            <w:r>
              <w:rPr>
                <w:lang w:val="en-US"/>
              </w:rPr>
              <w:t>Expected not to be applicable.</w:t>
            </w:r>
          </w:p>
        </w:tc>
        <w:tc>
          <w:tcPr>
            <w:tcW w:w="2693" w:type="dxa"/>
            <w:tcBorders>
              <w:top w:val="single" w:sz="4" w:space="0" w:color="auto"/>
              <w:left w:val="single" w:sz="4" w:space="0" w:color="auto"/>
              <w:bottom w:val="single" w:sz="4" w:space="0" w:color="auto"/>
              <w:right w:val="single" w:sz="4" w:space="0" w:color="auto"/>
            </w:tcBorders>
          </w:tcPr>
          <w:p w:rsidR="00B955D6" w:rsidRPr="005D6900" w:rsidRDefault="00B955D6">
            <w:pPr>
              <w:rPr>
                <w:lang w:val="en-US"/>
              </w:rPr>
            </w:pPr>
            <w:r>
              <w:rPr>
                <w:lang w:val="en-US"/>
              </w:rPr>
              <w:t xml:space="preserve">Diference between the </w:t>
            </w:r>
            <w:r w:rsidRPr="007853BA">
              <w:rPr>
                <w:lang w:val="en-US"/>
              </w:rPr>
              <w:t>premiums provisions</w:t>
            </w:r>
            <w:r w:rsidRPr="007140FC">
              <w:rPr>
                <w:lang w:val="en-US"/>
              </w:rPr>
              <w:t xml:space="preserve"> at Year end </w:t>
            </w:r>
            <w:r>
              <w:rPr>
                <w:lang w:val="en-US"/>
              </w:rPr>
              <w:t xml:space="preserve">(N) and </w:t>
            </w:r>
            <w:r w:rsidRPr="007140FC">
              <w:rPr>
                <w:lang w:val="en-US"/>
              </w:rPr>
              <w:t xml:space="preserve">(N–1) related to a coverage period starting after the closing Year end </w:t>
            </w:r>
            <w:r w:rsidRPr="00AD7EC0">
              <w:rPr>
                <w:lang w:val="en-US"/>
              </w:rPr>
              <w:t>N</w:t>
            </w:r>
            <w:r>
              <w:rPr>
                <w:lang w:val="en-US"/>
              </w:rPr>
              <w:t>.</w:t>
            </w:r>
          </w:p>
        </w:tc>
      </w:tr>
      <w:tr w:rsidR="00B955D6" w:rsidRPr="00393BBA" w:rsidTr="005412A6">
        <w:tc>
          <w:tcPr>
            <w:tcW w:w="1951" w:type="dxa"/>
            <w:tcBorders>
              <w:top w:val="single" w:sz="4" w:space="0" w:color="auto"/>
              <w:left w:val="single" w:sz="4" w:space="0" w:color="auto"/>
              <w:bottom w:val="single" w:sz="4" w:space="0" w:color="auto"/>
              <w:right w:val="single" w:sz="4" w:space="0" w:color="auto"/>
            </w:tcBorders>
          </w:tcPr>
          <w:p w:rsidR="00B955D6" w:rsidRPr="00B14669" w:rsidRDefault="00B955D6" w:rsidP="00B14669">
            <w:pPr>
              <w:rPr>
                <w:lang w:val="en-US"/>
              </w:rPr>
            </w:pPr>
            <w:r w:rsidRPr="00B14669">
              <w:rPr>
                <w:lang w:val="en-US"/>
              </w:rPr>
              <w:t>Variation of Best Estimate on risks covered during the period</w:t>
            </w:r>
            <w:r>
              <w:rPr>
                <w:lang w:val="en-US"/>
              </w:rPr>
              <w:t xml:space="preserve"> (only for accident year) R0200</w:t>
            </w:r>
          </w:p>
        </w:tc>
        <w:tc>
          <w:tcPr>
            <w:tcW w:w="2268" w:type="dxa"/>
            <w:tcBorders>
              <w:top w:val="single" w:sz="4" w:space="0" w:color="auto"/>
              <w:left w:val="single" w:sz="4" w:space="0" w:color="auto"/>
              <w:bottom w:val="single" w:sz="4" w:space="0" w:color="auto"/>
              <w:right w:val="single" w:sz="4" w:space="0" w:color="auto"/>
            </w:tcBorders>
          </w:tcPr>
          <w:p w:rsidR="00B955D6" w:rsidRPr="00AD7EC0" w:rsidRDefault="00B955D6" w:rsidP="005D6900">
            <w:pPr>
              <w:rPr>
                <w:lang w:val="en-US"/>
              </w:rPr>
            </w:pPr>
            <w:r w:rsidRPr="00AD7EC0">
              <w:rPr>
                <w:lang w:val="en-US"/>
              </w:rPr>
              <w:t>Refers to the following cases:</w:t>
            </w:r>
          </w:p>
          <w:p w:rsidR="00B955D6" w:rsidRPr="00AD7EC0" w:rsidRDefault="00B955D6" w:rsidP="00AD7EC0">
            <w:pPr>
              <w:pStyle w:val="ListParagraph"/>
              <w:numPr>
                <w:ilvl w:val="0"/>
                <w:numId w:val="8"/>
              </w:numPr>
              <w:ind w:left="382"/>
              <w:rPr>
                <w:lang w:val="en-US"/>
              </w:rPr>
            </w:pPr>
            <w:r w:rsidRPr="00AD7EC0">
              <w:rPr>
                <w:lang w:val="en-US"/>
              </w:rPr>
              <w:t>(part of) Premiums Provisions at Year end N-1 which turned to Claims Provisions at year end N because claim has occurred during the period</w:t>
            </w:r>
            <w:r>
              <w:rPr>
                <w:lang w:val="en-US"/>
              </w:rPr>
              <w:t>;</w:t>
            </w:r>
          </w:p>
          <w:p w:rsidR="00B955D6" w:rsidRPr="00AD7EC0" w:rsidRDefault="00B955D6" w:rsidP="00AD7EC0">
            <w:pPr>
              <w:pStyle w:val="ListParagraph"/>
              <w:numPr>
                <w:ilvl w:val="0"/>
                <w:numId w:val="8"/>
              </w:numPr>
              <w:ind w:left="382"/>
              <w:rPr>
                <w:lang w:val="en-US"/>
              </w:rPr>
            </w:pPr>
            <w:r w:rsidRPr="00AD7EC0">
              <w:rPr>
                <w:lang w:val="en-US"/>
              </w:rPr>
              <w:t>claims provisions related to claims occurred during the period (for which there was no Premiums provisions at year end N-1)</w:t>
            </w:r>
            <w:r>
              <w:rPr>
                <w:lang w:val="en-US"/>
              </w:rPr>
              <w:t>.</w:t>
            </w:r>
          </w:p>
          <w:p w:rsidR="00B955D6" w:rsidRPr="00EC4CB0" w:rsidRDefault="005412A6" w:rsidP="00B14669">
            <w:pPr>
              <w:rPr>
                <w:lang w:val="en-US"/>
              </w:rPr>
            </w:pPr>
            <w:r>
              <w:rPr>
                <w:lang w:val="en-US"/>
              </w:rPr>
              <w:t>S</w:t>
            </w:r>
            <w:r w:rsidR="003111A4">
              <w:rPr>
                <w:lang w:val="en-US"/>
              </w:rPr>
              <w:t xml:space="preserve">ee </w:t>
            </w:r>
            <w:r>
              <w:rPr>
                <w:lang w:val="en-US"/>
              </w:rPr>
              <w:t>proposal to correct/amend Instructions to be published by end of March.</w:t>
            </w:r>
          </w:p>
        </w:tc>
        <w:tc>
          <w:tcPr>
            <w:tcW w:w="2268" w:type="dxa"/>
            <w:tcBorders>
              <w:top w:val="single" w:sz="4" w:space="0" w:color="auto"/>
              <w:left w:val="single" w:sz="4" w:space="0" w:color="auto"/>
              <w:bottom w:val="single" w:sz="4" w:space="0" w:color="auto"/>
              <w:right w:val="single" w:sz="4" w:space="0" w:color="auto"/>
            </w:tcBorders>
          </w:tcPr>
          <w:p w:rsidR="00B955D6" w:rsidRPr="005D6900" w:rsidRDefault="00B955D6" w:rsidP="00B14669">
            <w:pPr>
              <w:rPr>
                <w:lang w:val="en-US"/>
              </w:rPr>
            </w:pPr>
            <w:r>
              <w:rPr>
                <w:lang w:val="en-US"/>
              </w:rPr>
              <w:t>Expected not to be applicable.</w:t>
            </w:r>
          </w:p>
        </w:tc>
        <w:tc>
          <w:tcPr>
            <w:tcW w:w="2693" w:type="dxa"/>
            <w:tcBorders>
              <w:top w:val="single" w:sz="4" w:space="0" w:color="auto"/>
              <w:left w:val="single" w:sz="4" w:space="0" w:color="auto"/>
              <w:bottom w:val="single" w:sz="4" w:space="0" w:color="auto"/>
              <w:right w:val="single" w:sz="4" w:space="0" w:color="auto"/>
            </w:tcBorders>
          </w:tcPr>
          <w:p w:rsidR="00B955D6" w:rsidRDefault="00B955D6" w:rsidP="007140FC">
            <w:pPr>
              <w:rPr>
                <w:lang w:val="en-US"/>
              </w:rPr>
            </w:pPr>
            <w:r w:rsidRPr="002B6039">
              <w:rPr>
                <w:rFonts w:eastAsia="Times New Roman" w:cs="Times New Roman"/>
                <w:lang w:val="en-US" w:eastAsia="en-GB"/>
              </w:rPr>
              <w:t>Reflect</w:t>
            </w:r>
            <w:r w:rsidRPr="00AD7EC0">
              <w:rPr>
                <w:lang w:val="en-US"/>
              </w:rPr>
              <w:t xml:space="preserve"> the increase of Best estimate due to claims occurred during the period. </w:t>
            </w:r>
          </w:p>
          <w:p w:rsidR="00B955D6" w:rsidRDefault="00B955D6" w:rsidP="00EC4CB0">
            <w:pPr>
              <w:rPr>
                <w:lang w:val="en-US"/>
              </w:rPr>
            </w:pPr>
            <w:r w:rsidRPr="00EC4CB0">
              <w:rPr>
                <w:lang w:val="en-US"/>
              </w:rPr>
              <w:t>The increase in claim provision would be higher than the decrease of premium provision, e.g. in multiyear contract</w:t>
            </w:r>
            <w:r>
              <w:rPr>
                <w:lang w:val="en-US"/>
              </w:rPr>
              <w:t>.</w:t>
            </w:r>
          </w:p>
          <w:p w:rsidR="00B955D6" w:rsidRPr="005D6900" w:rsidRDefault="00B955D6" w:rsidP="00EC4CB0">
            <w:pPr>
              <w:rPr>
                <w:lang w:val="en-US"/>
              </w:rPr>
            </w:pPr>
            <w:r>
              <w:rPr>
                <w:lang w:val="en-US"/>
              </w:rPr>
              <w:t xml:space="preserve">No split between premium and claim provision is requested. </w:t>
            </w:r>
            <w:r w:rsidRPr="00F358DF">
              <w:rPr>
                <w:highlight w:val="yellow"/>
                <w:lang w:val="en-US"/>
              </w:rPr>
              <w:t xml:space="preserve"> </w:t>
            </w:r>
          </w:p>
        </w:tc>
      </w:tr>
      <w:tr w:rsidR="00B955D6" w:rsidRPr="00393BBA" w:rsidTr="005412A6">
        <w:tc>
          <w:tcPr>
            <w:tcW w:w="1951" w:type="dxa"/>
            <w:tcBorders>
              <w:top w:val="single" w:sz="4" w:space="0" w:color="auto"/>
              <w:left w:val="single" w:sz="4" w:space="0" w:color="auto"/>
              <w:bottom w:val="single" w:sz="4" w:space="0" w:color="auto"/>
              <w:right w:val="single" w:sz="4" w:space="0" w:color="auto"/>
            </w:tcBorders>
          </w:tcPr>
          <w:p w:rsidR="00B955D6" w:rsidRPr="00B14669" w:rsidRDefault="00B955D6" w:rsidP="00B14669">
            <w:pPr>
              <w:rPr>
                <w:lang w:val="en-US"/>
              </w:rPr>
            </w:pPr>
            <w:r w:rsidRPr="00B14669">
              <w:rPr>
                <w:lang w:val="en-US"/>
              </w:rPr>
              <w:t>Variation of Best Estimate due to unwinding of discount rate - risks covered prior to period</w:t>
            </w:r>
            <w:r>
              <w:rPr>
                <w:lang w:val="en-US"/>
              </w:rPr>
              <w:t xml:space="preserve"> (R0060/R0210)</w:t>
            </w:r>
          </w:p>
        </w:tc>
        <w:tc>
          <w:tcPr>
            <w:tcW w:w="2268" w:type="dxa"/>
            <w:tcBorders>
              <w:top w:val="single" w:sz="4" w:space="0" w:color="auto"/>
              <w:left w:val="single" w:sz="4" w:space="0" w:color="auto"/>
              <w:bottom w:val="single" w:sz="4" w:space="0" w:color="auto"/>
              <w:right w:val="single" w:sz="4" w:space="0" w:color="auto"/>
            </w:tcBorders>
          </w:tcPr>
          <w:p w:rsidR="00B955D6" w:rsidRPr="005D6900" w:rsidRDefault="00B955D6" w:rsidP="007140FC">
            <w:pPr>
              <w:rPr>
                <w:lang w:val="en-US"/>
              </w:rPr>
            </w:pPr>
            <w:r w:rsidRPr="007140FC">
              <w:rPr>
                <w:lang w:val="en-US"/>
              </w:rPr>
              <w:t xml:space="preserve">The concept of unwinding may be illustrated as follows: Calculate the Best Estimate of year N-1 again but using the shifted interest rate term structure </w:t>
            </w:r>
            <w:r w:rsidRPr="002B6039">
              <w:rPr>
                <w:rFonts w:eastAsia="Times New Roman" w:cs="Times New Roman"/>
                <w:lang w:val="en-US" w:eastAsia="en-GB"/>
              </w:rPr>
              <w:t>in</w:t>
            </w:r>
            <w:r w:rsidRPr="00AD7EC0">
              <w:rPr>
                <w:lang w:val="en-US"/>
              </w:rPr>
              <w:t xml:space="preserve"> order to isolate this strict scope of variation</w:t>
            </w:r>
            <w:r>
              <w:rPr>
                <w:lang w:val="en-US"/>
              </w:rPr>
              <w:t>.</w:t>
            </w:r>
            <w:r w:rsidRPr="00AD7EC0">
              <w:rPr>
                <w:lang w:val="en-US"/>
              </w:rPr>
              <w:t xml:space="preserve"> </w:t>
            </w:r>
          </w:p>
        </w:tc>
        <w:tc>
          <w:tcPr>
            <w:tcW w:w="2268" w:type="dxa"/>
            <w:tcBorders>
              <w:top w:val="single" w:sz="4" w:space="0" w:color="auto"/>
              <w:left w:val="single" w:sz="4" w:space="0" w:color="auto"/>
              <w:bottom w:val="single" w:sz="4" w:space="0" w:color="auto"/>
              <w:right w:val="single" w:sz="4" w:space="0" w:color="auto"/>
            </w:tcBorders>
          </w:tcPr>
          <w:p w:rsidR="00B955D6" w:rsidRDefault="00B955D6">
            <w:pPr>
              <w:rPr>
                <w:lang w:val="en-US"/>
              </w:rPr>
            </w:pPr>
            <w:r>
              <w:rPr>
                <w:lang w:val="en-US"/>
              </w:rPr>
              <w:t xml:space="preserve">This cell is the difference between the adjusted opening BE and the BE that results from the application of the shifted one year ahead term structure (i.e the one year forward curve). </w:t>
            </w:r>
          </w:p>
          <w:p w:rsidR="00B955D6" w:rsidRPr="005D6900" w:rsidRDefault="00B955D6">
            <w:pPr>
              <w:rPr>
                <w:lang w:val="en-US"/>
              </w:rPr>
            </w:pPr>
            <w:r>
              <w:rPr>
                <w:lang w:val="en-US"/>
              </w:rPr>
              <w:t>For the cells R0220-R0240 the forward curve is applied.</w:t>
            </w:r>
          </w:p>
        </w:tc>
        <w:tc>
          <w:tcPr>
            <w:tcW w:w="2693" w:type="dxa"/>
            <w:tcBorders>
              <w:top w:val="single" w:sz="4" w:space="0" w:color="auto"/>
              <w:left w:val="single" w:sz="4" w:space="0" w:color="auto"/>
              <w:bottom w:val="single" w:sz="4" w:space="0" w:color="auto"/>
              <w:right w:val="single" w:sz="4" w:space="0" w:color="auto"/>
            </w:tcBorders>
          </w:tcPr>
          <w:p w:rsidR="00B955D6" w:rsidRDefault="00B955D6" w:rsidP="00EA1D67">
            <w:pPr>
              <w:rPr>
                <w:lang w:val="en-US"/>
              </w:rPr>
            </w:pPr>
            <w:r>
              <w:rPr>
                <w:lang w:val="en-US"/>
              </w:rPr>
              <w:t xml:space="preserve">This cell is the difference between the adjusted opening BE and the BE that results from the application of the shifted one year ahead term structure (i.e the one year forward curve). </w:t>
            </w:r>
          </w:p>
          <w:p w:rsidR="00B955D6" w:rsidRPr="005D6900" w:rsidRDefault="00B955D6">
            <w:pPr>
              <w:rPr>
                <w:lang w:val="en-US"/>
              </w:rPr>
            </w:pPr>
            <w:r>
              <w:rPr>
                <w:lang w:val="en-US"/>
              </w:rPr>
              <w:t>For the cells R220-R240 the forward curve is applied.</w:t>
            </w:r>
          </w:p>
        </w:tc>
      </w:tr>
      <w:tr w:rsidR="00B955D6" w:rsidRPr="00B14669" w:rsidTr="005412A6">
        <w:tc>
          <w:tcPr>
            <w:tcW w:w="1951" w:type="dxa"/>
            <w:tcBorders>
              <w:top w:val="single" w:sz="4" w:space="0" w:color="auto"/>
              <w:left w:val="single" w:sz="4" w:space="0" w:color="auto"/>
              <w:bottom w:val="single" w:sz="4" w:space="0" w:color="auto"/>
              <w:right w:val="single" w:sz="4" w:space="0" w:color="auto"/>
            </w:tcBorders>
          </w:tcPr>
          <w:p w:rsidR="00B955D6" w:rsidRPr="00B14669" w:rsidRDefault="00B955D6" w:rsidP="00B14669">
            <w:pPr>
              <w:rPr>
                <w:lang w:val="en-US"/>
              </w:rPr>
            </w:pPr>
            <w:r w:rsidRPr="00B14669">
              <w:rPr>
                <w:lang w:val="en-US"/>
              </w:rPr>
              <w:t xml:space="preserve">Variation of Best Estimate due to year N </w:t>
            </w:r>
            <w:r w:rsidRPr="00F358DF">
              <w:rPr>
                <w:lang w:val="en-US"/>
              </w:rPr>
              <w:t xml:space="preserve">projected in and out flows – risks </w:t>
            </w:r>
            <w:r>
              <w:rPr>
                <w:lang w:val="en-US"/>
              </w:rPr>
              <w:t>accepted/</w:t>
            </w:r>
            <w:r w:rsidRPr="00B14669">
              <w:rPr>
                <w:lang w:val="en-US"/>
              </w:rPr>
              <w:t>covered prior to period</w:t>
            </w:r>
            <w:r>
              <w:rPr>
                <w:lang w:val="en-US"/>
              </w:rPr>
              <w:t xml:space="preserve"> (R0070/R0220)</w:t>
            </w:r>
          </w:p>
        </w:tc>
        <w:tc>
          <w:tcPr>
            <w:tcW w:w="2268" w:type="dxa"/>
            <w:tcBorders>
              <w:top w:val="single" w:sz="4" w:space="0" w:color="auto"/>
              <w:left w:val="single" w:sz="4" w:space="0" w:color="auto"/>
              <w:bottom w:val="single" w:sz="4" w:space="0" w:color="auto"/>
              <w:right w:val="single" w:sz="4" w:space="0" w:color="auto"/>
            </w:tcBorders>
          </w:tcPr>
          <w:p w:rsidR="00B955D6" w:rsidRPr="00AD7EC0" w:rsidRDefault="00B955D6" w:rsidP="005D6900">
            <w:pPr>
              <w:rPr>
                <w:lang w:val="en-US"/>
              </w:rPr>
            </w:pPr>
            <w:r w:rsidRPr="00AD7EC0">
              <w:rPr>
                <w:lang w:val="en-US"/>
              </w:rPr>
              <w:t>Premiums, claims, and surrenders that were forecasted on the Opening Best Estimate (related to risks accepted/covered prior to period) as to be paid during the year. These will not be in the closing Best Estimate anymore as they would have been paid / received during the year.</w:t>
            </w:r>
          </w:p>
          <w:p w:rsidR="00B955D6" w:rsidRPr="00AD7EC0" w:rsidRDefault="00B955D6" w:rsidP="003111A4">
            <w:pPr>
              <w:rPr>
                <w:lang w:val="en-US"/>
              </w:rPr>
            </w:pPr>
            <w:r w:rsidRPr="00AD7EC0">
              <w:rPr>
                <w:lang w:val="en-US"/>
              </w:rPr>
              <w:t>A neutralisation adjustment has thus to be performed.</w:t>
            </w:r>
          </w:p>
        </w:tc>
        <w:tc>
          <w:tcPr>
            <w:tcW w:w="2268" w:type="dxa"/>
            <w:tcBorders>
              <w:top w:val="single" w:sz="4" w:space="0" w:color="auto"/>
              <w:left w:val="single" w:sz="4" w:space="0" w:color="auto"/>
              <w:bottom w:val="single" w:sz="4" w:space="0" w:color="auto"/>
              <w:right w:val="single" w:sz="4" w:space="0" w:color="auto"/>
            </w:tcBorders>
          </w:tcPr>
          <w:p w:rsidR="00B955D6" w:rsidRDefault="00B955D6" w:rsidP="00B955D6">
            <w:pPr>
              <w:rPr>
                <w:lang w:val="en-US"/>
              </w:rPr>
            </w:pPr>
            <w:r>
              <w:rPr>
                <w:lang w:val="en-US"/>
              </w:rPr>
              <w:t>All cash-flows should be considered (in and out cash-flows).</w:t>
            </w:r>
          </w:p>
          <w:p w:rsidR="00B955D6" w:rsidRDefault="00B955D6" w:rsidP="00B955D6">
            <w:pPr>
              <w:rPr>
                <w:lang w:val="en-US"/>
              </w:rPr>
            </w:pPr>
            <w:r>
              <w:rPr>
                <w:lang w:val="en-US"/>
              </w:rPr>
              <w:t xml:space="preserve">Refers only to the neutralisation of the cash-flows projected for that year. </w:t>
            </w:r>
          </w:p>
          <w:p w:rsidR="00B955D6" w:rsidRDefault="00B955D6" w:rsidP="00B955D6">
            <w:pPr>
              <w:rPr>
                <w:lang w:val="en-US"/>
              </w:rPr>
            </w:pPr>
            <w:r>
              <w:rPr>
                <w:lang w:val="en-US"/>
              </w:rPr>
              <w:t xml:space="preserve">The real cash-flows received/paid will be reflected in the table on technical flows. </w:t>
            </w:r>
          </w:p>
          <w:p w:rsidR="00B955D6" w:rsidRPr="005D6900" w:rsidRDefault="00B955D6">
            <w:pPr>
              <w:rPr>
                <w:lang w:val="en-US"/>
              </w:rPr>
            </w:pPr>
            <w:r>
              <w:rPr>
                <w:lang w:val="en-US"/>
              </w:rPr>
              <w:t xml:space="preserve">Similar to non-life. </w:t>
            </w:r>
          </w:p>
        </w:tc>
        <w:tc>
          <w:tcPr>
            <w:tcW w:w="2693" w:type="dxa"/>
            <w:tcBorders>
              <w:top w:val="single" w:sz="4" w:space="0" w:color="auto"/>
              <w:left w:val="single" w:sz="4" w:space="0" w:color="auto"/>
              <w:bottom w:val="single" w:sz="4" w:space="0" w:color="auto"/>
              <w:right w:val="single" w:sz="4" w:space="0" w:color="auto"/>
            </w:tcBorders>
          </w:tcPr>
          <w:p w:rsidR="00B955D6" w:rsidRDefault="00B955D6" w:rsidP="00B955D6">
            <w:pPr>
              <w:rPr>
                <w:lang w:val="en-US"/>
              </w:rPr>
            </w:pPr>
            <w:r>
              <w:rPr>
                <w:lang w:val="en-US"/>
              </w:rPr>
              <w:t>All cash-flows should be considered (in and out cash-flows).</w:t>
            </w:r>
          </w:p>
          <w:p w:rsidR="00B955D6" w:rsidRDefault="00B955D6" w:rsidP="00B955D6">
            <w:pPr>
              <w:rPr>
                <w:lang w:val="en-US"/>
              </w:rPr>
            </w:pPr>
            <w:r>
              <w:rPr>
                <w:lang w:val="en-US"/>
              </w:rPr>
              <w:t xml:space="preserve">Refers only to the neutralisation of the cash-flows projected for that year. </w:t>
            </w:r>
          </w:p>
          <w:p w:rsidR="00B955D6" w:rsidRDefault="00B955D6" w:rsidP="00B955D6">
            <w:pPr>
              <w:rPr>
                <w:lang w:val="en-US"/>
              </w:rPr>
            </w:pPr>
            <w:r>
              <w:rPr>
                <w:lang w:val="en-US"/>
              </w:rPr>
              <w:t xml:space="preserve">The real cash-flows received/paid will be reflected in the table on technical flows. </w:t>
            </w:r>
          </w:p>
          <w:p w:rsidR="00B955D6" w:rsidRDefault="00B955D6" w:rsidP="00B14669">
            <w:pPr>
              <w:rPr>
                <w:lang w:val="en-US"/>
              </w:rPr>
            </w:pPr>
            <w:r>
              <w:rPr>
                <w:lang w:val="en-US"/>
              </w:rPr>
              <w:t>Example 1: claim provision of 100 expected to be paid in year n, paid 105 during year n. This row should show -100. The payment of 105 would be reported only in technical flows.</w:t>
            </w:r>
          </w:p>
          <w:p w:rsidR="00B955D6" w:rsidRDefault="00B955D6" w:rsidP="00F36640">
            <w:pPr>
              <w:rPr>
                <w:lang w:val="en-US"/>
              </w:rPr>
            </w:pPr>
            <w:r>
              <w:rPr>
                <w:lang w:val="en-US"/>
              </w:rPr>
              <w:t>Example 2: claim provision of 100 expected to be paid in year n, paid 50 during year n. This row should show -100. The payment of 50 would be reported only in technical flows. (claim closed)</w:t>
            </w:r>
          </w:p>
          <w:p w:rsidR="00B955D6" w:rsidRDefault="00B955D6" w:rsidP="001424EF">
            <w:pPr>
              <w:rPr>
                <w:lang w:val="en-US"/>
              </w:rPr>
            </w:pPr>
            <w:r>
              <w:rPr>
                <w:lang w:val="en-US"/>
              </w:rPr>
              <w:t>Example 3: claim provision of 100, 50 expected to be paid in year n and another 50 in year n+1, paid 50 during the year and review provision for 55 (plus 5 than initially). This row should show -50.</w:t>
            </w:r>
          </w:p>
          <w:p w:rsidR="00B955D6" w:rsidRPr="005D6900" w:rsidRDefault="00B955D6" w:rsidP="00B14669">
            <w:pPr>
              <w:rPr>
                <w:lang w:val="en-US"/>
              </w:rPr>
            </w:pPr>
            <w:r w:rsidRPr="00B955D6">
              <w:rPr>
                <w:lang w:val="en-US"/>
              </w:rPr>
              <w:t>The payment of 50 would be reported only in technical flows. And R0080 will show plus 5.</w:t>
            </w:r>
          </w:p>
        </w:tc>
      </w:tr>
      <w:tr w:rsidR="00B955D6" w:rsidRPr="00B14669" w:rsidTr="005412A6">
        <w:tc>
          <w:tcPr>
            <w:tcW w:w="1951" w:type="dxa"/>
            <w:tcBorders>
              <w:top w:val="single" w:sz="4" w:space="0" w:color="auto"/>
              <w:left w:val="single" w:sz="4" w:space="0" w:color="auto"/>
              <w:bottom w:val="single" w:sz="4" w:space="0" w:color="auto"/>
              <w:right w:val="single" w:sz="4" w:space="0" w:color="auto"/>
            </w:tcBorders>
          </w:tcPr>
          <w:p w:rsidR="00B955D6" w:rsidRPr="00B14669" w:rsidRDefault="00B955D6" w:rsidP="00B14669">
            <w:pPr>
              <w:rPr>
                <w:lang w:val="en-US"/>
              </w:rPr>
            </w:pPr>
            <w:r w:rsidRPr="00B14669">
              <w:rPr>
                <w:lang w:val="en-US"/>
              </w:rPr>
              <w:t xml:space="preserve">Variation of Best Estimate due to experience and other sources - risks </w:t>
            </w:r>
            <w:r>
              <w:rPr>
                <w:lang w:val="en-US"/>
              </w:rPr>
              <w:t>accepted/</w:t>
            </w:r>
            <w:r w:rsidRPr="00B14669">
              <w:rPr>
                <w:lang w:val="en-US"/>
              </w:rPr>
              <w:t>covered prior to period</w:t>
            </w:r>
            <w:r>
              <w:rPr>
                <w:lang w:val="en-US"/>
              </w:rPr>
              <w:t xml:space="preserve"> (R0080/R0230)</w:t>
            </w:r>
          </w:p>
        </w:tc>
        <w:tc>
          <w:tcPr>
            <w:tcW w:w="2268" w:type="dxa"/>
            <w:tcBorders>
              <w:top w:val="single" w:sz="4" w:space="0" w:color="auto"/>
              <w:left w:val="single" w:sz="4" w:space="0" w:color="auto"/>
              <w:bottom w:val="single" w:sz="4" w:space="0" w:color="auto"/>
              <w:right w:val="single" w:sz="4" w:space="0" w:color="auto"/>
            </w:tcBorders>
          </w:tcPr>
          <w:p w:rsidR="00B955D6" w:rsidRPr="00AD7EC0" w:rsidRDefault="00B955D6" w:rsidP="005D6900">
            <w:pPr>
              <w:rPr>
                <w:lang w:val="en-US"/>
              </w:rPr>
            </w:pPr>
            <w:r w:rsidRPr="00AD7EC0">
              <w:rPr>
                <w:lang w:val="en-US"/>
              </w:rPr>
              <w:t>The variation of Best Estimate captured here shall strictly relate to the strict realisation of cash flows when compared to the cash flows that were projected, if the variation still affects the closing best estimate.</w:t>
            </w:r>
          </w:p>
          <w:p w:rsidR="00B955D6" w:rsidRDefault="00B955D6" w:rsidP="00B14669">
            <w:pPr>
              <w:rPr>
                <w:lang w:val="en-US"/>
              </w:rPr>
            </w:pPr>
            <w:r w:rsidRPr="00AD7EC0">
              <w:rPr>
                <w:lang w:val="en-US"/>
              </w:rPr>
              <w:t>For calculation purposes, and in case on non-availability of information of realised cash flows, the variation due to experience may be calculated as the difference between realised technical flows and projected cash-flow</w:t>
            </w:r>
            <w:r>
              <w:rPr>
                <w:lang w:val="en-US"/>
              </w:rPr>
              <w:t>.</w:t>
            </w:r>
          </w:p>
          <w:p w:rsidR="00B955D6" w:rsidRPr="005D6900" w:rsidRDefault="00B955D6" w:rsidP="00B14669">
            <w:pPr>
              <w:rPr>
                <w:lang w:val="en-US"/>
              </w:rPr>
            </w:pPr>
            <w:r>
              <w:rPr>
                <w:lang w:val="en-US"/>
              </w:rPr>
              <w:t xml:space="preserve">See </w:t>
            </w:r>
            <w:r w:rsidR="005412A6">
              <w:rPr>
                <w:lang w:val="en-US"/>
              </w:rPr>
              <w:t>proposal to correct/amend Instructions to be published by end of March.</w:t>
            </w:r>
            <w:r>
              <w:rPr>
                <w:lang w:val="en-US"/>
              </w:rPr>
              <w:t>.</w:t>
            </w:r>
          </w:p>
        </w:tc>
        <w:tc>
          <w:tcPr>
            <w:tcW w:w="2268" w:type="dxa"/>
            <w:tcBorders>
              <w:top w:val="single" w:sz="4" w:space="0" w:color="auto"/>
              <w:left w:val="single" w:sz="4" w:space="0" w:color="auto"/>
              <w:bottom w:val="single" w:sz="4" w:space="0" w:color="auto"/>
              <w:right w:val="single" w:sz="4" w:space="0" w:color="auto"/>
            </w:tcBorders>
          </w:tcPr>
          <w:p w:rsidR="00B955D6" w:rsidRDefault="00B955D6" w:rsidP="00B14669">
            <w:pPr>
              <w:rPr>
                <w:lang w:val="en-US"/>
              </w:rPr>
            </w:pPr>
            <w:r>
              <w:rPr>
                <w:lang w:val="en-US"/>
              </w:rPr>
              <w:t>The cell should include the impact in future cash-flows due to the experience in year n (not related to assumptions).</w:t>
            </w:r>
          </w:p>
          <w:p w:rsidR="00B955D6" w:rsidRDefault="00B955D6" w:rsidP="00B14669">
            <w:pPr>
              <w:rPr>
                <w:lang w:val="en-US"/>
              </w:rPr>
            </w:pPr>
            <w:r>
              <w:rPr>
                <w:lang w:val="en-US"/>
              </w:rPr>
              <w:t>Examples:</w:t>
            </w:r>
          </w:p>
          <w:p w:rsidR="00B955D6" w:rsidRDefault="00B955D6" w:rsidP="000F7991">
            <w:pPr>
              <w:rPr>
                <w:lang w:val="en-US"/>
              </w:rPr>
            </w:pPr>
            <w:r>
              <w:rPr>
                <w:lang w:val="en-US"/>
              </w:rPr>
              <w:t xml:space="preserve">Higher/lower amount of surrenders in year n affecting the future cash-flows. </w:t>
            </w:r>
          </w:p>
          <w:p w:rsidR="00B955D6" w:rsidRDefault="00B955D6" w:rsidP="000F7991">
            <w:pPr>
              <w:rPr>
                <w:lang w:val="en-US"/>
              </w:rPr>
            </w:pPr>
            <w:r>
              <w:rPr>
                <w:lang w:val="en-US"/>
              </w:rPr>
              <w:t xml:space="preserve">Impact of deaths in the cash flows projected for the future regarding that insured person. </w:t>
            </w:r>
          </w:p>
          <w:p w:rsidR="00B955D6" w:rsidRDefault="00B955D6" w:rsidP="000F7991">
            <w:pPr>
              <w:rPr>
                <w:lang w:val="en-US"/>
              </w:rPr>
            </w:pPr>
            <w:r>
              <w:rPr>
                <w:lang w:val="en-US"/>
              </w:rPr>
              <w:t xml:space="preserve">Example 1: </w:t>
            </w:r>
          </w:p>
          <w:p w:rsidR="00B955D6" w:rsidRDefault="00B955D6" w:rsidP="000F7991">
            <w:pPr>
              <w:rPr>
                <w:lang w:val="en-US"/>
              </w:rPr>
            </w:pPr>
            <w:r>
              <w:rPr>
                <w:lang w:val="en-US"/>
              </w:rPr>
              <w:t>1 death not foressen in year n (no CF projected for year n):</w:t>
            </w:r>
          </w:p>
          <w:p w:rsidR="00B955D6" w:rsidRDefault="00B955D6" w:rsidP="00FF38B7">
            <w:pPr>
              <w:pStyle w:val="ListParagraph"/>
              <w:numPr>
                <w:ilvl w:val="0"/>
                <w:numId w:val="12"/>
              </w:numPr>
              <w:ind w:left="176" w:hanging="142"/>
              <w:rPr>
                <w:lang w:val="en-US"/>
              </w:rPr>
            </w:pPr>
            <w:r>
              <w:rPr>
                <w:lang w:val="en-US"/>
              </w:rPr>
              <w:t>In R0070 no deduction;</w:t>
            </w:r>
          </w:p>
          <w:p w:rsidR="00B955D6" w:rsidRDefault="00B955D6" w:rsidP="00FF38B7">
            <w:pPr>
              <w:pStyle w:val="ListParagraph"/>
              <w:numPr>
                <w:ilvl w:val="0"/>
                <w:numId w:val="12"/>
              </w:numPr>
              <w:ind w:left="176" w:hanging="142"/>
              <w:rPr>
                <w:lang w:val="en-US"/>
              </w:rPr>
            </w:pPr>
            <w:r>
              <w:rPr>
                <w:lang w:val="en-US"/>
              </w:rPr>
              <w:t>In R0080 adjustment of the future CF;</w:t>
            </w:r>
          </w:p>
          <w:p w:rsidR="00B955D6" w:rsidRPr="00D53ED0" w:rsidRDefault="00B955D6" w:rsidP="00FF38B7">
            <w:pPr>
              <w:pStyle w:val="ListParagraph"/>
              <w:numPr>
                <w:ilvl w:val="0"/>
                <w:numId w:val="12"/>
              </w:numPr>
              <w:ind w:left="176" w:hanging="142"/>
              <w:rPr>
                <w:lang w:val="en-US"/>
              </w:rPr>
            </w:pPr>
            <w:r>
              <w:rPr>
                <w:lang w:val="en-US"/>
              </w:rPr>
              <w:t>The payment in year n is only showed in technical flows (R0320).</w:t>
            </w:r>
          </w:p>
        </w:tc>
        <w:tc>
          <w:tcPr>
            <w:tcW w:w="2693" w:type="dxa"/>
            <w:tcBorders>
              <w:top w:val="single" w:sz="4" w:space="0" w:color="auto"/>
              <w:left w:val="single" w:sz="4" w:space="0" w:color="auto"/>
              <w:bottom w:val="single" w:sz="4" w:space="0" w:color="auto"/>
              <w:right w:val="single" w:sz="4" w:space="0" w:color="auto"/>
            </w:tcBorders>
          </w:tcPr>
          <w:p w:rsidR="00B955D6" w:rsidRDefault="00B955D6" w:rsidP="00224949">
            <w:pPr>
              <w:rPr>
                <w:lang w:val="en-US"/>
              </w:rPr>
            </w:pPr>
            <w:r>
              <w:rPr>
                <w:lang w:val="en-US"/>
              </w:rPr>
              <w:t>The cell should include the impact in future cash-flows due to the experience in year n (not related to assumptions).</w:t>
            </w:r>
          </w:p>
          <w:p w:rsidR="00B955D6" w:rsidRDefault="00B955D6" w:rsidP="00224949">
            <w:pPr>
              <w:rPr>
                <w:lang w:val="en-US"/>
              </w:rPr>
            </w:pPr>
            <w:r>
              <w:rPr>
                <w:lang w:val="en-US"/>
              </w:rPr>
              <w:t>Examples:</w:t>
            </w:r>
          </w:p>
          <w:p w:rsidR="00B955D6" w:rsidRDefault="00B955D6" w:rsidP="00224949">
            <w:pPr>
              <w:rPr>
                <w:lang w:val="en-US"/>
              </w:rPr>
            </w:pPr>
            <w:r>
              <w:rPr>
                <w:lang w:val="en-US"/>
              </w:rPr>
              <w:t xml:space="preserve">Slowing down/speeding-up payments. </w:t>
            </w:r>
          </w:p>
          <w:p w:rsidR="00B955D6" w:rsidRDefault="00B955D6" w:rsidP="00B14669">
            <w:pPr>
              <w:rPr>
                <w:lang w:val="en-US"/>
              </w:rPr>
            </w:pPr>
            <w:r>
              <w:rPr>
                <w:lang w:val="en-US"/>
              </w:rPr>
              <w:t>Example 1: claim provision of 100, paid 105 during the year. This row is zero as the extra payment does not impact the closing BE</w:t>
            </w:r>
          </w:p>
          <w:p w:rsidR="00B955D6" w:rsidRDefault="00B955D6" w:rsidP="001424EF">
            <w:pPr>
              <w:rPr>
                <w:lang w:val="en-US"/>
              </w:rPr>
            </w:pPr>
            <w:r>
              <w:rPr>
                <w:lang w:val="en-US"/>
              </w:rPr>
              <w:t>Example 2: claim provision of 100, paid 50 during the year and review provision for 55 (plus 5 than initially). This row should show +5.</w:t>
            </w:r>
          </w:p>
          <w:p w:rsidR="00B955D6" w:rsidRPr="005D6900" w:rsidRDefault="00B955D6" w:rsidP="00224949">
            <w:pPr>
              <w:rPr>
                <w:lang w:val="en-US"/>
              </w:rPr>
            </w:pPr>
          </w:p>
        </w:tc>
      </w:tr>
      <w:tr w:rsidR="00B955D6" w:rsidRPr="00393BBA" w:rsidTr="005412A6">
        <w:tc>
          <w:tcPr>
            <w:tcW w:w="1951" w:type="dxa"/>
            <w:tcBorders>
              <w:top w:val="single" w:sz="4" w:space="0" w:color="auto"/>
              <w:left w:val="single" w:sz="4" w:space="0" w:color="auto"/>
              <w:bottom w:val="single" w:sz="4" w:space="0" w:color="auto"/>
              <w:right w:val="single" w:sz="4" w:space="0" w:color="auto"/>
            </w:tcBorders>
          </w:tcPr>
          <w:p w:rsidR="00B955D6" w:rsidRPr="00B14669" w:rsidRDefault="00B955D6" w:rsidP="00B14669">
            <w:pPr>
              <w:rPr>
                <w:lang w:val="en-US"/>
              </w:rPr>
            </w:pPr>
            <w:r w:rsidRPr="00B14669">
              <w:rPr>
                <w:lang w:val="en-US"/>
              </w:rPr>
              <w:t xml:space="preserve">Variation of Best Estimate due to changes in non economic assumptions - risks </w:t>
            </w:r>
            <w:r>
              <w:rPr>
                <w:lang w:val="en-US"/>
              </w:rPr>
              <w:t>accepted/</w:t>
            </w:r>
            <w:r w:rsidRPr="00B14669">
              <w:rPr>
                <w:lang w:val="en-US"/>
              </w:rPr>
              <w:t>covered prior to period</w:t>
            </w:r>
            <w:r>
              <w:rPr>
                <w:lang w:val="en-US"/>
              </w:rPr>
              <w:t xml:space="preserve"> (R0090/R0240)</w:t>
            </w:r>
          </w:p>
        </w:tc>
        <w:tc>
          <w:tcPr>
            <w:tcW w:w="2268" w:type="dxa"/>
            <w:tcBorders>
              <w:top w:val="single" w:sz="4" w:space="0" w:color="auto"/>
              <w:left w:val="single" w:sz="4" w:space="0" w:color="auto"/>
              <w:bottom w:val="single" w:sz="4" w:space="0" w:color="auto"/>
              <w:right w:val="single" w:sz="4" w:space="0" w:color="auto"/>
            </w:tcBorders>
          </w:tcPr>
          <w:p w:rsidR="00B955D6" w:rsidRDefault="00B955D6" w:rsidP="005D6900">
            <w:pPr>
              <w:rPr>
                <w:lang w:val="en-US"/>
              </w:rPr>
            </w:pPr>
            <w:r w:rsidRPr="00AD7EC0">
              <w:rPr>
                <w:lang w:val="en-US"/>
              </w:rPr>
              <w:t xml:space="preserve">It mainly refers to changes in </w:t>
            </w:r>
            <w:r w:rsidR="00DF2294">
              <w:rPr>
                <w:lang w:val="en-US"/>
              </w:rPr>
              <w:t xml:space="preserve">best estimate </w:t>
            </w:r>
            <w:r w:rsidR="00DF2294" w:rsidRPr="00AD7EC0">
              <w:rPr>
                <w:lang w:val="en-US"/>
              </w:rPr>
              <w:t xml:space="preserve"> </w:t>
            </w:r>
            <w:r w:rsidRPr="00AD7EC0">
              <w:rPr>
                <w:lang w:val="en-US"/>
              </w:rPr>
              <w:t>not driven by realised technical flows and changes assumptions directly linked to insurance risks (i.e. reserving methodology assumptions, assumptions on lapse rates, inflation, etc</w:t>
            </w:r>
            <w:r w:rsidRPr="007140FC">
              <w:rPr>
                <w:lang w:val="en-US"/>
              </w:rPr>
              <w:t>), which can be referred to as non-economic assumptions.</w:t>
            </w:r>
          </w:p>
          <w:p w:rsidR="00DF2294" w:rsidRPr="007140FC" w:rsidRDefault="00DF2294" w:rsidP="005D6900">
            <w:pPr>
              <w:rPr>
                <w:lang w:val="en-US"/>
              </w:rPr>
            </w:pPr>
            <w:r>
              <w:rPr>
                <w:lang w:val="en-US"/>
              </w:rPr>
              <w:t>See proposal to correct/amend Instructions to be published by end of March.</w:t>
            </w:r>
          </w:p>
          <w:p w:rsidR="00B955D6" w:rsidRPr="00AD7EC0" w:rsidRDefault="00B955D6" w:rsidP="00B14669">
            <w:pPr>
              <w:rPr>
                <w:lang w:val="en-US"/>
              </w:rPr>
            </w:pPr>
          </w:p>
        </w:tc>
        <w:tc>
          <w:tcPr>
            <w:tcW w:w="2268" w:type="dxa"/>
            <w:tcBorders>
              <w:top w:val="single" w:sz="4" w:space="0" w:color="auto"/>
              <w:left w:val="single" w:sz="4" w:space="0" w:color="auto"/>
              <w:bottom w:val="single" w:sz="4" w:space="0" w:color="auto"/>
              <w:right w:val="single" w:sz="4" w:space="0" w:color="auto"/>
            </w:tcBorders>
          </w:tcPr>
          <w:p w:rsidR="00B955D6" w:rsidRDefault="00B955D6" w:rsidP="00B955D6">
            <w:pPr>
              <w:rPr>
                <w:lang w:val="en-US"/>
              </w:rPr>
            </w:pPr>
            <w:r>
              <w:rPr>
                <w:lang w:val="en-US"/>
              </w:rPr>
              <w:t xml:space="preserve">Should reflect changes in CF projections from new information or revisions due to non-economic assumprions. </w:t>
            </w:r>
          </w:p>
          <w:p w:rsidR="00B955D6" w:rsidRDefault="00B955D6" w:rsidP="00B955D6">
            <w:pPr>
              <w:rPr>
                <w:lang w:val="en-US"/>
              </w:rPr>
            </w:pPr>
            <w:r>
              <w:rPr>
                <w:lang w:val="en-US"/>
              </w:rPr>
              <w:t>Mortality and customer behavior are considered non-economic assumptions.</w:t>
            </w:r>
          </w:p>
          <w:p w:rsidR="00B955D6" w:rsidRPr="005D6900" w:rsidRDefault="00B955D6" w:rsidP="00B955D6">
            <w:pPr>
              <w:rPr>
                <w:lang w:val="en-US"/>
              </w:rPr>
            </w:pPr>
            <w:r w:rsidRPr="00AD7EC0">
              <w:rPr>
                <w:lang w:val="en-US"/>
              </w:rPr>
              <w:t>This will provide the variation of Best Estimate strictly related to changes in these assumptions, e.g. lapse rates.</w:t>
            </w:r>
          </w:p>
        </w:tc>
        <w:tc>
          <w:tcPr>
            <w:tcW w:w="2693" w:type="dxa"/>
            <w:tcBorders>
              <w:top w:val="single" w:sz="4" w:space="0" w:color="auto"/>
              <w:left w:val="single" w:sz="4" w:space="0" w:color="auto"/>
              <w:bottom w:val="single" w:sz="4" w:space="0" w:color="auto"/>
              <w:right w:val="single" w:sz="4" w:space="0" w:color="auto"/>
            </w:tcBorders>
          </w:tcPr>
          <w:p w:rsidR="00B955D6" w:rsidRDefault="00B955D6" w:rsidP="00B955D6">
            <w:pPr>
              <w:rPr>
                <w:lang w:val="en-US"/>
              </w:rPr>
            </w:pPr>
            <w:r>
              <w:rPr>
                <w:lang w:val="en-US"/>
              </w:rPr>
              <w:t xml:space="preserve">Should reflect changes in CF projections from new information or revisions of IBNR due to non-economic assumprions. </w:t>
            </w:r>
          </w:p>
          <w:p w:rsidR="00B955D6" w:rsidRPr="00AD7EC0" w:rsidRDefault="00B955D6" w:rsidP="00B955D6">
            <w:pPr>
              <w:rPr>
                <w:lang w:val="en-US"/>
              </w:rPr>
            </w:pPr>
            <w:r w:rsidRPr="00AD7EC0">
              <w:rPr>
                <w:lang w:val="en-US"/>
              </w:rPr>
              <w:t>This will provide the variation of Best Estimate strictly related to changes in these assumptions. This may not capture the variation due to case-by-case revision of RBNS, which would thus have to be added</w:t>
            </w:r>
            <w:r>
              <w:rPr>
                <w:lang w:val="en-US"/>
              </w:rPr>
              <w:t xml:space="preserve"> if related to a change in assumptions. This amount could also be reported in R0230 depending on the rationale for the revision</w:t>
            </w:r>
            <w:r w:rsidRPr="00AD7EC0">
              <w:rPr>
                <w:lang w:val="en-US"/>
              </w:rPr>
              <w:t>.</w:t>
            </w:r>
          </w:p>
          <w:p w:rsidR="00B955D6" w:rsidRPr="00AD7EC0" w:rsidRDefault="00B955D6" w:rsidP="00B14669">
            <w:pPr>
              <w:rPr>
                <w:lang w:val="en-US"/>
              </w:rPr>
            </w:pPr>
            <w:r>
              <w:rPr>
                <w:lang w:val="en-US"/>
              </w:rPr>
              <w:t>I</w:t>
            </w:r>
            <w:r w:rsidRPr="00AD7EC0">
              <w:rPr>
                <w:lang w:val="en-US"/>
              </w:rPr>
              <w:t>n cases where these changes cannot be discerned separately from changes due to experience, report the total figure under C0060/R0230.</w:t>
            </w:r>
          </w:p>
          <w:p w:rsidR="00B955D6" w:rsidRPr="005D6900" w:rsidRDefault="00B955D6" w:rsidP="007348D0">
            <w:pPr>
              <w:rPr>
                <w:lang w:val="en-US"/>
              </w:rPr>
            </w:pPr>
            <w:r>
              <w:rPr>
                <w:lang w:val="en-US"/>
              </w:rPr>
              <w:t>C</w:t>
            </w:r>
            <w:r w:rsidRPr="00AD7EC0">
              <w:rPr>
                <w:lang w:val="en-US"/>
              </w:rPr>
              <w:t>hanges of BE due to new information in terms of a new diagonal in the claims paid/incurred triangle would be captured in the cell R</w:t>
            </w:r>
            <w:r>
              <w:rPr>
                <w:lang w:val="en-US"/>
              </w:rPr>
              <w:t>0</w:t>
            </w:r>
            <w:r w:rsidRPr="00AD7EC0">
              <w:rPr>
                <w:lang w:val="en-US"/>
              </w:rPr>
              <w:t>230, while changes due to new or updated actuarial assumptions (e.g use of different development factors, changes in the actuarial reserving method (e.g from chain ladder to Loss-Development Method ect.) would be captured in R</w:t>
            </w:r>
            <w:r>
              <w:rPr>
                <w:lang w:val="en-US"/>
              </w:rPr>
              <w:t>0</w:t>
            </w:r>
            <w:r w:rsidRPr="00AD7EC0">
              <w:rPr>
                <w:lang w:val="en-US"/>
              </w:rPr>
              <w:t xml:space="preserve">240. </w:t>
            </w:r>
          </w:p>
        </w:tc>
      </w:tr>
      <w:tr w:rsidR="00B955D6" w:rsidRPr="00393BBA" w:rsidTr="005412A6">
        <w:tc>
          <w:tcPr>
            <w:tcW w:w="1951" w:type="dxa"/>
            <w:tcBorders>
              <w:top w:val="single" w:sz="4" w:space="0" w:color="auto"/>
              <w:left w:val="single" w:sz="4" w:space="0" w:color="auto"/>
              <w:bottom w:val="single" w:sz="4" w:space="0" w:color="auto"/>
              <w:right w:val="single" w:sz="4" w:space="0" w:color="auto"/>
            </w:tcBorders>
          </w:tcPr>
          <w:p w:rsidR="00B955D6" w:rsidRPr="00B14669" w:rsidRDefault="00B955D6" w:rsidP="00B14669">
            <w:pPr>
              <w:rPr>
                <w:lang w:val="en-US"/>
              </w:rPr>
            </w:pPr>
            <w:r w:rsidRPr="00B14669">
              <w:rPr>
                <w:lang w:val="en-US"/>
              </w:rPr>
              <w:t xml:space="preserve">Variation of Best Estimate due to changes in economic environment - risks </w:t>
            </w:r>
            <w:r>
              <w:rPr>
                <w:lang w:val="en-US"/>
              </w:rPr>
              <w:t>accepted/</w:t>
            </w:r>
            <w:r w:rsidRPr="00B14669">
              <w:rPr>
                <w:lang w:val="en-US"/>
              </w:rPr>
              <w:t>covered prior to period</w:t>
            </w:r>
            <w:r>
              <w:rPr>
                <w:lang w:val="en-US"/>
              </w:rPr>
              <w:t xml:space="preserve"> (R0100/R0250)</w:t>
            </w:r>
          </w:p>
        </w:tc>
        <w:tc>
          <w:tcPr>
            <w:tcW w:w="2268" w:type="dxa"/>
            <w:tcBorders>
              <w:top w:val="single" w:sz="4" w:space="0" w:color="auto"/>
              <w:left w:val="single" w:sz="4" w:space="0" w:color="auto"/>
              <w:bottom w:val="single" w:sz="4" w:space="0" w:color="auto"/>
              <w:right w:val="single" w:sz="4" w:space="0" w:color="auto"/>
            </w:tcBorders>
          </w:tcPr>
          <w:p w:rsidR="00B955D6" w:rsidRPr="00AD7EC0" w:rsidRDefault="00B955D6" w:rsidP="007348D0">
            <w:pPr>
              <w:rPr>
                <w:lang w:val="en-US"/>
              </w:rPr>
            </w:pPr>
            <w:r w:rsidRPr="00AD7EC0">
              <w:rPr>
                <w:lang w:val="en-US"/>
              </w:rPr>
              <w:t>It mainly refers to assumptions not directly linked to insurance risks, i.e. mainly the impact of the changes in economic environment on the cash flows (taking management actions into account, e. g. reduction of FDB) and changes in discount rates.</w:t>
            </w:r>
          </w:p>
        </w:tc>
        <w:tc>
          <w:tcPr>
            <w:tcW w:w="2268" w:type="dxa"/>
            <w:tcBorders>
              <w:top w:val="single" w:sz="4" w:space="0" w:color="auto"/>
              <w:left w:val="single" w:sz="4" w:space="0" w:color="auto"/>
              <w:bottom w:val="single" w:sz="4" w:space="0" w:color="auto"/>
              <w:right w:val="single" w:sz="4" w:space="0" w:color="auto"/>
            </w:tcBorders>
          </w:tcPr>
          <w:p w:rsidR="00B955D6" w:rsidRPr="005D6900" w:rsidRDefault="00B955D6">
            <w:pPr>
              <w:rPr>
                <w:lang w:val="en-US"/>
              </w:rPr>
            </w:pPr>
            <w:r w:rsidRPr="00AD7EC0">
              <w:rPr>
                <w:lang w:val="en-US"/>
              </w:rPr>
              <w:t xml:space="preserve">This will provide the variation of Best Estimate strictly related to changes in assumptions related to economic environment. </w:t>
            </w:r>
          </w:p>
        </w:tc>
        <w:tc>
          <w:tcPr>
            <w:tcW w:w="2693" w:type="dxa"/>
            <w:tcBorders>
              <w:top w:val="single" w:sz="4" w:space="0" w:color="auto"/>
              <w:left w:val="single" w:sz="4" w:space="0" w:color="auto"/>
              <w:bottom w:val="single" w:sz="4" w:space="0" w:color="auto"/>
              <w:right w:val="single" w:sz="4" w:space="0" w:color="auto"/>
            </w:tcBorders>
          </w:tcPr>
          <w:p w:rsidR="00B955D6" w:rsidRPr="00AD7EC0" w:rsidRDefault="00B955D6" w:rsidP="005D6900">
            <w:pPr>
              <w:rPr>
                <w:lang w:val="en-US"/>
              </w:rPr>
            </w:pPr>
            <w:r w:rsidRPr="00AD7EC0">
              <w:rPr>
                <w:lang w:val="en-US"/>
              </w:rPr>
              <w:t>For non-life (C0060/R0250), in case variation due to inflation cannot be discerned from changes due to experience, the whole amount would be reported under C0060/R0230.</w:t>
            </w:r>
          </w:p>
          <w:p w:rsidR="00B955D6" w:rsidRPr="00AD7EC0" w:rsidRDefault="00B955D6" w:rsidP="00B14669">
            <w:pPr>
              <w:rPr>
                <w:lang w:val="en-US"/>
              </w:rPr>
            </w:pPr>
          </w:p>
        </w:tc>
      </w:tr>
      <w:tr w:rsidR="00B955D6" w:rsidRPr="00393BBA" w:rsidTr="005412A6">
        <w:tc>
          <w:tcPr>
            <w:tcW w:w="1951" w:type="dxa"/>
            <w:tcBorders>
              <w:top w:val="single" w:sz="4" w:space="0" w:color="auto"/>
              <w:left w:val="single" w:sz="4" w:space="0" w:color="auto"/>
              <w:bottom w:val="single" w:sz="4" w:space="0" w:color="auto"/>
              <w:right w:val="single" w:sz="4" w:space="0" w:color="auto"/>
            </w:tcBorders>
          </w:tcPr>
          <w:p w:rsidR="00B955D6" w:rsidRPr="007140FC" w:rsidRDefault="00B955D6" w:rsidP="00041082">
            <w:pPr>
              <w:rPr>
                <w:lang w:val="en-US"/>
              </w:rPr>
            </w:pPr>
            <w:r w:rsidRPr="007853BA">
              <w:rPr>
                <w:lang w:val="en-US"/>
              </w:rPr>
              <w:t>Other Changes not elsewhere explained</w:t>
            </w:r>
          </w:p>
          <w:p w:rsidR="00B955D6" w:rsidRPr="00BC09EC" w:rsidRDefault="00B955D6" w:rsidP="00041082">
            <w:pPr>
              <w:rPr>
                <w:lang w:val="en-US"/>
              </w:rPr>
            </w:pPr>
            <w:r w:rsidRPr="007140FC">
              <w:rPr>
                <w:lang w:val="en-US"/>
              </w:rPr>
              <w:t>(R0110/R0260)</w:t>
            </w:r>
          </w:p>
        </w:tc>
        <w:tc>
          <w:tcPr>
            <w:tcW w:w="2268" w:type="dxa"/>
            <w:tcBorders>
              <w:top w:val="single" w:sz="4" w:space="0" w:color="auto"/>
              <w:left w:val="single" w:sz="4" w:space="0" w:color="auto"/>
              <w:bottom w:val="single" w:sz="4" w:space="0" w:color="auto"/>
              <w:right w:val="single" w:sz="4" w:space="0" w:color="auto"/>
            </w:tcBorders>
          </w:tcPr>
          <w:p w:rsidR="00B955D6" w:rsidRPr="007853BA" w:rsidRDefault="00B955D6" w:rsidP="00041082">
            <w:pPr>
              <w:rPr>
                <w:lang w:val="en-US"/>
              </w:rPr>
            </w:pPr>
            <w:r w:rsidRPr="00AD7EC0">
              <w:rPr>
                <w:lang w:val="en-US"/>
              </w:rPr>
              <w:t>Corresponds to other variations in Best Estimate, not captured in previous cells</w:t>
            </w:r>
          </w:p>
        </w:tc>
        <w:tc>
          <w:tcPr>
            <w:tcW w:w="2268" w:type="dxa"/>
            <w:tcBorders>
              <w:top w:val="single" w:sz="4" w:space="0" w:color="auto"/>
              <w:left w:val="single" w:sz="4" w:space="0" w:color="auto"/>
              <w:bottom w:val="single" w:sz="4" w:space="0" w:color="auto"/>
              <w:right w:val="single" w:sz="4" w:space="0" w:color="auto"/>
            </w:tcBorders>
          </w:tcPr>
          <w:p w:rsidR="00B955D6" w:rsidRPr="005D6900" w:rsidRDefault="00B955D6" w:rsidP="00041082">
            <w:pPr>
              <w:rPr>
                <w:lang w:val="en-US"/>
              </w:rPr>
            </w:pPr>
            <w:r>
              <w:rPr>
                <w:lang w:val="en-US"/>
              </w:rPr>
              <w:t>Could be used for final adjustment that if material need to be justified</w:t>
            </w:r>
          </w:p>
        </w:tc>
        <w:tc>
          <w:tcPr>
            <w:tcW w:w="2693" w:type="dxa"/>
            <w:tcBorders>
              <w:top w:val="single" w:sz="4" w:space="0" w:color="auto"/>
              <w:left w:val="single" w:sz="4" w:space="0" w:color="auto"/>
              <w:bottom w:val="single" w:sz="4" w:space="0" w:color="auto"/>
              <w:right w:val="single" w:sz="4" w:space="0" w:color="auto"/>
            </w:tcBorders>
          </w:tcPr>
          <w:p w:rsidR="00B955D6" w:rsidRPr="007853BA" w:rsidRDefault="00B955D6" w:rsidP="00041082">
            <w:pPr>
              <w:rPr>
                <w:lang w:val="en-US"/>
              </w:rPr>
            </w:pPr>
            <w:r>
              <w:rPr>
                <w:lang w:val="en-US"/>
              </w:rPr>
              <w:t>Could be used for final adjustment that if material need to be justified</w:t>
            </w:r>
          </w:p>
        </w:tc>
      </w:tr>
    </w:tbl>
    <w:p w:rsidR="0092061A" w:rsidRDefault="0092061A" w:rsidP="00EB578F">
      <w:pPr>
        <w:jc w:val="both"/>
        <w:rPr>
          <w:lang w:val="en-US"/>
        </w:rPr>
      </w:pPr>
    </w:p>
    <w:p w:rsidR="00D11C6E" w:rsidRDefault="00D11C6E" w:rsidP="00AD7EC0">
      <w:pPr>
        <w:pStyle w:val="ListParagraph"/>
        <w:numPr>
          <w:ilvl w:val="0"/>
          <w:numId w:val="9"/>
        </w:numPr>
        <w:ind w:left="709" w:hanging="709"/>
        <w:jc w:val="both"/>
        <w:rPr>
          <w:rFonts w:ascii="Verdana" w:hAnsi="Verdana"/>
          <w:lang w:val="en-US"/>
        </w:rPr>
      </w:pPr>
      <w:r w:rsidRPr="007853BA">
        <w:rPr>
          <w:rFonts w:ascii="Verdana" w:hAnsi="Verdana"/>
          <w:lang w:val="en-US"/>
        </w:rPr>
        <w:t xml:space="preserve">The second </w:t>
      </w:r>
      <w:r w:rsidRPr="0054615F">
        <w:rPr>
          <w:rFonts w:ascii="Verdana" w:hAnsi="Verdana"/>
          <w:lang w:val="en-US"/>
        </w:rPr>
        <w:t xml:space="preserve">table </w:t>
      </w:r>
      <w:r w:rsidR="002F1C70" w:rsidRPr="00FF38B7">
        <w:rPr>
          <w:rFonts w:ascii="Verdana" w:hAnsi="Verdana"/>
          <w:lang w:val="en-US"/>
        </w:rPr>
        <w:t>(R0310</w:t>
      </w:r>
      <w:r w:rsidR="002F1C70" w:rsidRPr="0054615F">
        <w:rPr>
          <w:rFonts w:ascii="Verdana" w:hAnsi="Verdana"/>
          <w:lang w:val="en-US"/>
        </w:rPr>
        <w:t xml:space="preserve"> to R</w:t>
      </w:r>
      <w:r w:rsidR="002F1C70" w:rsidRPr="00FF38B7">
        <w:rPr>
          <w:rFonts w:ascii="Verdana" w:hAnsi="Verdana"/>
          <w:lang w:val="en-US"/>
        </w:rPr>
        <w:t>0350</w:t>
      </w:r>
      <w:r w:rsidR="002F1C70" w:rsidRPr="0054615F">
        <w:rPr>
          <w:rFonts w:ascii="Verdana" w:hAnsi="Verdana"/>
          <w:lang w:val="en-US"/>
        </w:rPr>
        <w:t xml:space="preserve">) </w:t>
      </w:r>
      <w:r w:rsidRPr="0054615F">
        <w:rPr>
          <w:rFonts w:ascii="Verdana" w:hAnsi="Verdana"/>
          <w:lang w:val="en-US"/>
        </w:rPr>
        <w:t>of the te</w:t>
      </w:r>
      <w:r w:rsidRPr="007853BA">
        <w:rPr>
          <w:rFonts w:ascii="Verdana" w:hAnsi="Verdana"/>
          <w:lang w:val="en-US"/>
        </w:rPr>
        <w:t xml:space="preserve">mplate reflects the technical flows </w:t>
      </w:r>
      <w:r w:rsidR="00324385">
        <w:rPr>
          <w:rFonts w:ascii="Verdana" w:hAnsi="Verdana"/>
          <w:lang w:val="en-US"/>
        </w:rPr>
        <w:t>related to</w:t>
      </w:r>
      <w:r w:rsidR="00324385" w:rsidRPr="007140FC">
        <w:rPr>
          <w:rFonts w:ascii="Verdana" w:hAnsi="Verdana"/>
          <w:lang w:val="en-US"/>
        </w:rPr>
        <w:t xml:space="preserve"> </w:t>
      </w:r>
      <w:r w:rsidRPr="007140FC">
        <w:rPr>
          <w:rFonts w:ascii="Verdana" w:hAnsi="Verdana"/>
          <w:lang w:val="en-US"/>
        </w:rPr>
        <w:t>technical provisions</w:t>
      </w:r>
      <w:r w:rsidRPr="0054615F">
        <w:rPr>
          <w:rFonts w:ascii="Verdana" w:hAnsi="Verdana"/>
          <w:lang w:val="en-US"/>
        </w:rPr>
        <w:t>.</w:t>
      </w:r>
      <w:r w:rsidR="007E36EC" w:rsidRPr="0054615F">
        <w:rPr>
          <w:rFonts w:ascii="Verdana" w:hAnsi="Verdana"/>
          <w:lang w:val="en-US"/>
        </w:rPr>
        <w:t xml:space="preserve"> This amounts should include the technical flows related to </w:t>
      </w:r>
      <w:r w:rsidR="006104FE">
        <w:rPr>
          <w:rFonts w:ascii="Verdana" w:hAnsi="Verdana"/>
          <w:lang w:val="en-US"/>
        </w:rPr>
        <w:t>index</w:t>
      </w:r>
      <w:r w:rsidR="002A3D11">
        <w:rPr>
          <w:rFonts w:ascii="Verdana" w:hAnsi="Verdana"/>
          <w:lang w:val="en-US"/>
        </w:rPr>
        <w:t>-</w:t>
      </w:r>
      <w:r w:rsidR="007E36EC" w:rsidRPr="0054615F">
        <w:rPr>
          <w:rFonts w:ascii="Verdana" w:hAnsi="Verdana"/>
          <w:lang w:val="en-US"/>
        </w:rPr>
        <w:t>linked</w:t>
      </w:r>
      <w:r w:rsidR="006104FE">
        <w:rPr>
          <w:rFonts w:ascii="Verdana" w:hAnsi="Verdana"/>
          <w:lang w:val="en-US"/>
        </w:rPr>
        <w:t xml:space="preserve"> and </w:t>
      </w:r>
      <w:r w:rsidR="007E36EC" w:rsidRPr="0054615F">
        <w:rPr>
          <w:rFonts w:ascii="Verdana" w:hAnsi="Verdana"/>
          <w:lang w:val="en-US"/>
        </w:rPr>
        <w:t>unit</w:t>
      </w:r>
      <w:r w:rsidR="006104FE">
        <w:rPr>
          <w:rFonts w:ascii="Verdana" w:hAnsi="Verdana"/>
          <w:lang w:val="en-US"/>
        </w:rPr>
        <w:t>-</w:t>
      </w:r>
      <w:r w:rsidR="007E36EC" w:rsidRPr="0054615F">
        <w:rPr>
          <w:rFonts w:ascii="Verdana" w:hAnsi="Verdana"/>
          <w:lang w:val="en-US"/>
        </w:rPr>
        <w:t>linked</w:t>
      </w:r>
      <w:r w:rsidR="006104FE">
        <w:rPr>
          <w:rFonts w:ascii="Verdana" w:hAnsi="Verdana"/>
          <w:lang w:val="en-US"/>
        </w:rPr>
        <w:t xml:space="preserve"> business</w:t>
      </w:r>
      <w:r w:rsidR="007E36EC" w:rsidRPr="0054615F">
        <w:rPr>
          <w:rFonts w:ascii="Verdana" w:hAnsi="Verdana"/>
          <w:lang w:val="en-US"/>
        </w:rPr>
        <w:t>.</w:t>
      </w:r>
      <w:r w:rsidRPr="0054615F">
        <w:rPr>
          <w:rFonts w:ascii="Verdana" w:hAnsi="Verdana"/>
          <w:lang w:val="en-US"/>
        </w:rPr>
        <w:t xml:space="preserve"> </w:t>
      </w:r>
      <w:r w:rsidR="0014486A" w:rsidRPr="0054615F">
        <w:rPr>
          <w:rFonts w:ascii="Verdana" w:hAnsi="Verdana"/>
          <w:lang w:val="en-US"/>
        </w:rPr>
        <w:t>T</w:t>
      </w:r>
      <w:r w:rsidR="0014486A" w:rsidRPr="007140FC">
        <w:rPr>
          <w:rFonts w:ascii="Verdana" w:hAnsi="Verdana"/>
          <w:lang w:val="en-US"/>
        </w:rPr>
        <w:t xml:space="preserve">he amounts should </w:t>
      </w:r>
      <w:r w:rsidRPr="007140FC">
        <w:rPr>
          <w:rFonts w:ascii="Verdana" w:hAnsi="Verdana"/>
          <w:lang w:val="en-US"/>
        </w:rPr>
        <w:t xml:space="preserve">all </w:t>
      </w:r>
      <w:r w:rsidR="0014486A" w:rsidRPr="007140FC">
        <w:rPr>
          <w:rFonts w:ascii="Verdana" w:hAnsi="Verdana"/>
          <w:lang w:val="en-US"/>
        </w:rPr>
        <w:t xml:space="preserve">be reported positive </w:t>
      </w:r>
      <w:r w:rsidRPr="007140FC">
        <w:rPr>
          <w:rFonts w:ascii="Verdana" w:hAnsi="Verdana"/>
          <w:lang w:val="en-US"/>
        </w:rPr>
        <w:t>if in line with its nature, e.</w:t>
      </w:r>
      <w:r w:rsidR="00E604FF" w:rsidRPr="007140FC">
        <w:rPr>
          <w:rFonts w:ascii="Verdana" w:hAnsi="Verdana"/>
          <w:lang w:val="en-US"/>
        </w:rPr>
        <w:t>g.</w:t>
      </w:r>
      <w:r w:rsidRPr="007140FC">
        <w:rPr>
          <w:rFonts w:ascii="Verdana" w:hAnsi="Verdana"/>
          <w:lang w:val="en-US"/>
        </w:rPr>
        <w:t xml:space="preserve"> cash-in flows related to premiums as positive and cas</w:t>
      </w:r>
      <w:r w:rsidR="00E604FF" w:rsidRPr="007140FC">
        <w:rPr>
          <w:rFonts w:ascii="Verdana" w:hAnsi="Verdana"/>
          <w:lang w:val="en-US"/>
        </w:rPr>
        <w:t>h</w:t>
      </w:r>
      <w:r w:rsidRPr="007140FC">
        <w:rPr>
          <w:rFonts w:ascii="Verdana" w:hAnsi="Verdana"/>
          <w:lang w:val="en-US"/>
        </w:rPr>
        <w:t xml:space="preserve">-out flows related to claims as </w:t>
      </w:r>
      <w:r w:rsidR="00816B17">
        <w:rPr>
          <w:rFonts w:ascii="Verdana" w:hAnsi="Verdana"/>
          <w:lang w:val="en-US"/>
        </w:rPr>
        <w:t>positive as well</w:t>
      </w:r>
      <w:r w:rsidR="00816B17" w:rsidRPr="007140FC">
        <w:rPr>
          <w:rFonts w:ascii="Verdana" w:hAnsi="Verdana"/>
          <w:lang w:val="en-US"/>
        </w:rPr>
        <w:t xml:space="preserve"> </w:t>
      </w:r>
      <w:r w:rsidR="00E604FF" w:rsidRPr="007140FC">
        <w:rPr>
          <w:rFonts w:ascii="Verdana" w:hAnsi="Verdana"/>
          <w:lang w:val="en-US"/>
        </w:rPr>
        <w:t>(</w:t>
      </w:r>
      <w:r w:rsidR="006104FE">
        <w:rPr>
          <w:rFonts w:ascii="Verdana" w:hAnsi="Verdana"/>
          <w:lang w:val="en-US"/>
        </w:rPr>
        <w:t xml:space="preserve">please </w:t>
      </w:r>
      <w:r w:rsidR="00E604FF" w:rsidRPr="007140FC">
        <w:rPr>
          <w:rFonts w:ascii="Verdana" w:hAnsi="Verdana"/>
          <w:lang w:val="en-US"/>
        </w:rPr>
        <w:t>see also BV146 and BV147</w:t>
      </w:r>
      <w:r w:rsidR="006104FE">
        <w:rPr>
          <w:rFonts w:ascii="Verdana" w:hAnsi="Verdana"/>
          <w:lang w:val="en-US"/>
        </w:rPr>
        <w:t xml:space="preserve"> of the list of validatons</w:t>
      </w:r>
      <w:r w:rsidR="00E604FF" w:rsidRPr="007140FC">
        <w:rPr>
          <w:rFonts w:ascii="Verdana" w:hAnsi="Verdana"/>
          <w:lang w:val="en-US"/>
        </w:rPr>
        <w:t>)</w:t>
      </w:r>
      <w:r w:rsidRPr="007140FC">
        <w:rPr>
          <w:rFonts w:ascii="Verdana" w:hAnsi="Verdana"/>
          <w:lang w:val="en-US"/>
        </w:rPr>
        <w:t>.</w:t>
      </w:r>
    </w:p>
    <w:p w:rsidR="0054615F" w:rsidRDefault="0054615F" w:rsidP="00FE4432">
      <w:pPr>
        <w:pStyle w:val="ListParagraph"/>
        <w:ind w:left="709"/>
        <w:jc w:val="both"/>
        <w:rPr>
          <w:rFonts w:ascii="Verdana" w:hAnsi="Verdana"/>
          <w:lang w:val="en-US"/>
        </w:rPr>
      </w:pPr>
    </w:p>
    <w:p w:rsidR="0054615F" w:rsidRPr="007853BA" w:rsidRDefault="0054615F" w:rsidP="00FA044C">
      <w:pPr>
        <w:pStyle w:val="ListParagraph"/>
        <w:numPr>
          <w:ilvl w:val="0"/>
          <w:numId w:val="9"/>
        </w:numPr>
        <w:ind w:left="709" w:hanging="709"/>
        <w:jc w:val="both"/>
        <w:rPr>
          <w:rFonts w:ascii="Verdana" w:hAnsi="Verdana"/>
          <w:lang w:val="en-US"/>
        </w:rPr>
      </w:pPr>
      <w:r>
        <w:rPr>
          <w:rFonts w:ascii="Verdana" w:hAnsi="Verdana"/>
          <w:lang w:val="en-US"/>
        </w:rPr>
        <w:t>The amounts to be reported in this table should be consistent with the ones reported in S.05.01</w:t>
      </w:r>
      <w:r w:rsidR="00493775">
        <w:rPr>
          <w:rFonts w:ascii="Verdana" w:hAnsi="Verdana"/>
          <w:lang w:val="en-US"/>
        </w:rPr>
        <w:t xml:space="preserve">. For R0310 the same values are expected while for R0330 it should be noted the difference due to </w:t>
      </w:r>
      <w:r w:rsidR="002B3D2B">
        <w:rPr>
          <w:rFonts w:ascii="Verdana" w:hAnsi="Verdana"/>
          <w:lang w:val="en-US"/>
        </w:rPr>
        <w:t>investment expenses</w:t>
      </w:r>
      <w:r>
        <w:rPr>
          <w:rFonts w:ascii="Verdana" w:hAnsi="Verdana"/>
          <w:lang w:val="en-US"/>
        </w:rPr>
        <w:t xml:space="preserve">. The assumption is that any technical cash-in and out flow will be reflected as well in the responsibility assumed in the best estimate. Only the technical cash-flows referred </w:t>
      </w:r>
      <w:r w:rsidR="00FA5E80">
        <w:rPr>
          <w:rFonts w:ascii="Verdana" w:hAnsi="Verdana"/>
          <w:lang w:val="en-US"/>
        </w:rPr>
        <w:t xml:space="preserve">explicitly </w:t>
      </w:r>
      <w:r>
        <w:rPr>
          <w:rFonts w:ascii="Verdana" w:hAnsi="Verdana"/>
          <w:lang w:val="en-US"/>
        </w:rPr>
        <w:t xml:space="preserve">should be </w:t>
      </w:r>
      <w:r w:rsidR="00FA5E80">
        <w:rPr>
          <w:rFonts w:ascii="Verdana" w:hAnsi="Verdana"/>
          <w:lang w:val="en-US"/>
        </w:rPr>
        <w:t>r</w:t>
      </w:r>
      <w:r>
        <w:rPr>
          <w:rFonts w:ascii="Verdana" w:hAnsi="Verdana"/>
          <w:lang w:val="en-US"/>
        </w:rPr>
        <w:t>eported. Any other technical flow</w:t>
      </w:r>
      <w:r w:rsidR="004644B1">
        <w:rPr>
          <w:rFonts w:ascii="Verdana" w:hAnsi="Verdana"/>
          <w:lang w:val="en-US"/>
        </w:rPr>
        <w:t>s</w:t>
      </w:r>
      <w:r>
        <w:rPr>
          <w:rFonts w:ascii="Verdana" w:hAnsi="Verdana"/>
          <w:lang w:val="en-US"/>
        </w:rPr>
        <w:t xml:space="preserve"> other than </w:t>
      </w:r>
      <w:r w:rsidR="006104FE">
        <w:rPr>
          <w:rFonts w:ascii="Verdana" w:hAnsi="Verdana"/>
          <w:lang w:val="en-US"/>
        </w:rPr>
        <w:t>“</w:t>
      </w:r>
      <w:r>
        <w:rPr>
          <w:rFonts w:ascii="Verdana" w:hAnsi="Verdana"/>
          <w:lang w:val="en-US"/>
        </w:rPr>
        <w:t>premiums</w:t>
      </w:r>
      <w:r w:rsidR="006104FE">
        <w:rPr>
          <w:rFonts w:ascii="Verdana" w:hAnsi="Verdana"/>
          <w:lang w:val="en-US"/>
        </w:rPr>
        <w:t>”</w:t>
      </w:r>
      <w:r>
        <w:rPr>
          <w:rFonts w:ascii="Verdana" w:hAnsi="Verdana"/>
          <w:lang w:val="en-US"/>
        </w:rPr>
        <w:t xml:space="preserve">, </w:t>
      </w:r>
      <w:r w:rsidR="006104FE">
        <w:rPr>
          <w:rFonts w:ascii="Verdana" w:hAnsi="Verdana"/>
          <w:lang w:val="en-US"/>
        </w:rPr>
        <w:t>“</w:t>
      </w:r>
      <w:r>
        <w:rPr>
          <w:rFonts w:ascii="Verdana" w:hAnsi="Verdana"/>
          <w:lang w:val="en-US"/>
        </w:rPr>
        <w:t>claims and benefits</w:t>
      </w:r>
      <w:r w:rsidR="006104FE">
        <w:rPr>
          <w:rFonts w:ascii="Verdana" w:hAnsi="Verdana"/>
          <w:lang w:val="en-US"/>
        </w:rPr>
        <w:t>,</w:t>
      </w:r>
      <w:r>
        <w:rPr>
          <w:rFonts w:ascii="Verdana" w:hAnsi="Verdana"/>
          <w:lang w:val="en-US"/>
        </w:rPr>
        <w:t xml:space="preserve"> net of salvages and subrogations</w:t>
      </w:r>
      <w:r w:rsidR="006104FE">
        <w:rPr>
          <w:rFonts w:ascii="Verdana" w:hAnsi="Verdana"/>
          <w:lang w:val="en-US"/>
        </w:rPr>
        <w:t>”</w:t>
      </w:r>
      <w:r>
        <w:rPr>
          <w:rFonts w:ascii="Verdana" w:hAnsi="Verdana"/>
          <w:lang w:val="en-US"/>
        </w:rPr>
        <w:t xml:space="preserve"> and </w:t>
      </w:r>
      <w:r w:rsidR="006104FE">
        <w:rPr>
          <w:rFonts w:ascii="Verdana" w:hAnsi="Verdana"/>
          <w:lang w:val="en-US"/>
        </w:rPr>
        <w:t>“</w:t>
      </w:r>
      <w:r>
        <w:rPr>
          <w:rFonts w:ascii="Verdana" w:hAnsi="Verdana"/>
          <w:lang w:val="en-US"/>
        </w:rPr>
        <w:t xml:space="preserve">expenses </w:t>
      </w:r>
      <w:r w:rsidR="006104FE">
        <w:rPr>
          <w:rFonts w:ascii="Verdana" w:hAnsi="Verdana"/>
          <w:lang w:val="en-US"/>
        </w:rPr>
        <w:t>(</w:t>
      </w:r>
      <w:r>
        <w:rPr>
          <w:rFonts w:ascii="Verdana" w:hAnsi="Verdana"/>
          <w:lang w:val="en-US"/>
        </w:rPr>
        <w:t>excluding investment expenses</w:t>
      </w:r>
      <w:r w:rsidR="006104FE">
        <w:rPr>
          <w:rFonts w:ascii="Verdana" w:hAnsi="Verdana"/>
          <w:lang w:val="en-US"/>
        </w:rPr>
        <w:t>)”</w:t>
      </w:r>
      <w:r>
        <w:rPr>
          <w:rFonts w:ascii="Verdana" w:hAnsi="Verdana"/>
          <w:lang w:val="en-US"/>
        </w:rPr>
        <w:t xml:space="preserve"> </w:t>
      </w:r>
      <w:r w:rsidR="00FA5E80">
        <w:rPr>
          <w:rFonts w:ascii="Verdana" w:hAnsi="Verdana"/>
          <w:lang w:val="en-US"/>
        </w:rPr>
        <w:t xml:space="preserve">should </w:t>
      </w:r>
      <w:r>
        <w:rPr>
          <w:rFonts w:ascii="Verdana" w:hAnsi="Verdana"/>
          <w:lang w:val="en-US"/>
        </w:rPr>
        <w:t xml:space="preserve">not </w:t>
      </w:r>
      <w:r w:rsidR="00FA5E80">
        <w:rPr>
          <w:rFonts w:ascii="Verdana" w:hAnsi="Verdana"/>
          <w:lang w:val="en-US"/>
        </w:rPr>
        <w:t xml:space="preserve">be </w:t>
      </w:r>
      <w:r>
        <w:rPr>
          <w:rFonts w:ascii="Verdana" w:hAnsi="Verdana"/>
          <w:lang w:val="en-US"/>
        </w:rPr>
        <w:t>reported</w:t>
      </w:r>
      <w:r w:rsidR="00FA5E80">
        <w:rPr>
          <w:rFonts w:ascii="Verdana" w:hAnsi="Verdana"/>
          <w:lang w:val="en-US"/>
        </w:rPr>
        <w:t xml:space="preserve"> in this template (see also comment on S.29.01.R0250)</w:t>
      </w:r>
      <w:r>
        <w:rPr>
          <w:rFonts w:ascii="Verdana" w:hAnsi="Verdana"/>
          <w:lang w:val="en-US"/>
        </w:rPr>
        <w:t xml:space="preserve">. </w:t>
      </w:r>
    </w:p>
    <w:p w:rsidR="0014486A" w:rsidRDefault="0014486A" w:rsidP="007853BA">
      <w:pPr>
        <w:pStyle w:val="ListParagraph"/>
        <w:ind w:left="709"/>
        <w:jc w:val="both"/>
        <w:rPr>
          <w:rFonts w:ascii="Verdana" w:hAnsi="Verdana"/>
          <w:lang w:val="en-US"/>
        </w:rPr>
      </w:pPr>
    </w:p>
    <w:p w:rsidR="00FA044C" w:rsidRDefault="00FA044C" w:rsidP="007853BA">
      <w:pPr>
        <w:pStyle w:val="ListParagraph"/>
        <w:ind w:left="709"/>
        <w:jc w:val="both"/>
        <w:rPr>
          <w:rFonts w:ascii="Verdana" w:hAnsi="Verdana"/>
          <w:lang w:val="en-US"/>
        </w:rPr>
      </w:pPr>
    </w:p>
    <w:tbl>
      <w:tblPr>
        <w:tblW w:w="0" w:type="auto"/>
        <w:tblInd w:w="817" w:type="dxa"/>
        <w:tblLook w:val="04A0" w:firstRow="1" w:lastRow="0" w:firstColumn="1" w:lastColumn="0" w:noHBand="0" w:noVBand="1"/>
      </w:tblPr>
      <w:tblGrid>
        <w:gridCol w:w="1431"/>
        <w:gridCol w:w="1820"/>
        <w:gridCol w:w="2515"/>
        <w:gridCol w:w="2705"/>
      </w:tblGrid>
      <w:tr w:rsidR="00FF38B7" w:rsidRPr="00B14669" w:rsidTr="003E2030">
        <w:tc>
          <w:tcPr>
            <w:tcW w:w="1050" w:type="dxa"/>
            <w:tcBorders>
              <w:top w:val="single" w:sz="4" w:space="0" w:color="auto"/>
              <w:left w:val="single" w:sz="4" w:space="0" w:color="auto"/>
              <w:bottom w:val="single" w:sz="4" w:space="0" w:color="auto"/>
              <w:right w:val="single" w:sz="4" w:space="0" w:color="auto"/>
            </w:tcBorders>
          </w:tcPr>
          <w:p w:rsidR="004238CF" w:rsidRPr="00B14669" w:rsidRDefault="004238CF" w:rsidP="00041082">
            <w:pPr>
              <w:jc w:val="center"/>
              <w:rPr>
                <w:b/>
                <w:lang w:val="en-US"/>
              </w:rPr>
            </w:pPr>
          </w:p>
        </w:tc>
        <w:tc>
          <w:tcPr>
            <w:tcW w:w="1867" w:type="dxa"/>
            <w:tcBorders>
              <w:top w:val="single" w:sz="4" w:space="0" w:color="auto"/>
              <w:left w:val="single" w:sz="4" w:space="0" w:color="auto"/>
              <w:bottom w:val="single" w:sz="4" w:space="0" w:color="auto"/>
              <w:right w:val="single" w:sz="4" w:space="0" w:color="auto"/>
            </w:tcBorders>
          </w:tcPr>
          <w:p w:rsidR="004238CF" w:rsidRPr="00B14669" w:rsidRDefault="004238CF" w:rsidP="00041082">
            <w:pPr>
              <w:jc w:val="center"/>
              <w:rPr>
                <w:b/>
                <w:lang w:val="en-US"/>
              </w:rPr>
            </w:pPr>
            <w:r>
              <w:rPr>
                <w:b/>
                <w:lang w:val="en-US"/>
              </w:rPr>
              <w:t>Instructions</w:t>
            </w:r>
            <w:r w:rsidRPr="00B14669">
              <w:rPr>
                <w:b/>
                <w:lang w:val="en-US"/>
              </w:rPr>
              <w:t xml:space="preserve"> summary</w:t>
            </w:r>
          </w:p>
        </w:tc>
        <w:tc>
          <w:tcPr>
            <w:tcW w:w="2611" w:type="dxa"/>
            <w:tcBorders>
              <w:top w:val="single" w:sz="4" w:space="0" w:color="auto"/>
              <w:left w:val="single" w:sz="4" w:space="0" w:color="auto"/>
              <w:bottom w:val="single" w:sz="4" w:space="0" w:color="auto"/>
              <w:right w:val="single" w:sz="4" w:space="0" w:color="auto"/>
            </w:tcBorders>
          </w:tcPr>
          <w:p w:rsidR="004238CF" w:rsidRPr="007853BA" w:rsidRDefault="004238CF" w:rsidP="00041082">
            <w:pPr>
              <w:jc w:val="center"/>
              <w:rPr>
                <w:b/>
                <w:lang w:val="en-US"/>
              </w:rPr>
            </w:pPr>
            <w:r w:rsidRPr="007140FC">
              <w:rPr>
                <w:b/>
                <w:lang w:val="en-US"/>
              </w:rPr>
              <w:t>Life example/Additonal comment</w:t>
            </w:r>
          </w:p>
        </w:tc>
        <w:tc>
          <w:tcPr>
            <w:tcW w:w="2835" w:type="dxa"/>
            <w:tcBorders>
              <w:top w:val="single" w:sz="4" w:space="0" w:color="auto"/>
              <w:left w:val="single" w:sz="4" w:space="0" w:color="auto"/>
              <w:bottom w:val="single" w:sz="4" w:space="0" w:color="auto"/>
              <w:right w:val="single" w:sz="4" w:space="0" w:color="auto"/>
            </w:tcBorders>
          </w:tcPr>
          <w:p w:rsidR="004238CF" w:rsidRPr="007853BA" w:rsidRDefault="004238CF" w:rsidP="00041082">
            <w:pPr>
              <w:jc w:val="center"/>
              <w:rPr>
                <w:b/>
                <w:lang w:val="en-US"/>
              </w:rPr>
            </w:pPr>
            <w:r w:rsidRPr="007853BA">
              <w:rPr>
                <w:b/>
                <w:lang w:val="en-US"/>
              </w:rPr>
              <w:t>Non-life example</w:t>
            </w:r>
            <w:r w:rsidRPr="007140FC">
              <w:rPr>
                <w:b/>
                <w:lang w:val="en-US"/>
              </w:rPr>
              <w:t>/Additonal comment</w:t>
            </w:r>
          </w:p>
        </w:tc>
      </w:tr>
      <w:tr w:rsidR="00FF38B7" w:rsidRPr="00393BBA" w:rsidTr="003E2030">
        <w:tc>
          <w:tcPr>
            <w:tcW w:w="1050" w:type="dxa"/>
            <w:tcBorders>
              <w:top w:val="single" w:sz="4" w:space="0" w:color="auto"/>
              <w:left w:val="single" w:sz="4" w:space="0" w:color="auto"/>
              <w:bottom w:val="single" w:sz="4" w:space="0" w:color="auto"/>
              <w:right w:val="single" w:sz="4" w:space="0" w:color="auto"/>
            </w:tcBorders>
          </w:tcPr>
          <w:p w:rsidR="004238CF" w:rsidRDefault="004238CF" w:rsidP="00041082">
            <w:pPr>
              <w:rPr>
                <w:lang w:val="en-US"/>
              </w:rPr>
            </w:pPr>
            <w:r w:rsidRPr="00B60FD7">
              <w:rPr>
                <w:lang w:val="en-US"/>
              </w:rPr>
              <w:t>Premiums written during the period</w:t>
            </w:r>
          </w:p>
          <w:p w:rsidR="004238CF" w:rsidRPr="00B14669" w:rsidRDefault="004238CF" w:rsidP="00041082">
            <w:pPr>
              <w:rPr>
                <w:lang w:val="en-US"/>
              </w:rPr>
            </w:pPr>
            <w:r>
              <w:rPr>
                <w:lang w:val="en-US"/>
              </w:rPr>
              <w:t>(R0310)</w:t>
            </w:r>
          </w:p>
        </w:tc>
        <w:tc>
          <w:tcPr>
            <w:tcW w:w="1867" w:type="dxa"/>
            <w:tcBorders>
              <w:top w:val="single" w:sz="4" w:space="0" w:color="auto"/>
              <w:left w:val="single" w:sz="4" w:space="0" w:color="auto"/>
              <w:bottom w:val="single" w:sz="4" w:space="0" w:color="auto"/>
              <w:right w:val="single" w:sz="4" w:space="0" w:color="auto"/>
            </w:tcBorders>
          </w:tcPr>
          <w:p w:rsidR="004238CF" w:rsidRDefault="004238CF" w:rsidP="00041082">
            <w:pPr>
              <w:rPr>
                <w:lang w:val="en-US"/>
              </w:rPr>
            </w:pPr>
            <w:r w:rsidRPr="00C02939">
              <w:rPr>
                <w:lang w:val="en-US"/>
              </w:rPr>
              <w:t xml:space="preserve">Amount of premiums </w:t>
            </w:r>
            <w:r>
              <w:rPr>
                <w:lang w:val="en-US"/>
              </w:rPr>
              <w:t xml:space="preserve">written during the period </w:t>
            </w:r>
            <w:r w:rsidRPr="00C02939">
              <w:rPr>
                <w:lang w:val="en-US"/>
              </w:rPr>
              <w:t xml:space="preserve">not </w:t>
            </w:r>
            <w:r>
              <w:rPr>
                <w:lang w:val="en-US"/>
              </w:rPr>
              <w:t>reflected in the closing best estimate</w:t>
            </w:r>
          </w:p>
          <w:p w:rsidR="003111A4" w:rsidRPr="00C02939" w:rsidRDefault="00BF1A8C" w:rsidP="00041082">
            <w:pPr>
              <w:rPr>
                <w:lang w:val="en-US"/>
              </w:rPr>
            </w:pPr>
            <w:r>
              <w:rPr>
                <w:lang w:val="en-US"/>
              </w:rPr>
              <w:t>S</w:t>
            </w:r>
            <w:r w:rsidR="003111A4">
              <w:rPr>
                <w:lang w:val="en-US"/>
              </w:rPr>
              <w:t xml:space="preserve">ee </w:t>
            </w:r>
            <w:r w:rsidR="005412A6">
              <w:rPr>
                <w:lang w:val="en-US"/>
              </w:rPr>
              <w:t>proposal to correct/amend Instructions to be published by end of March</w:t>
            </w:r>
            <w:r w:rsidR="003111A4">
              <w:rPr>
                <w:lang w:val="en-US"/>
              </w:rPr>
              <w:t>.</w:t>
            </w:r>
          </w:p>
        </w:tc>
        <w:tc>
          <w:tcPr>
            <w:tcW w:w="2611" w:type="dxa"/>
            <w:tcBorders>
              <w:top w:val="single" w:sz="4" w:space="0" w:color="auto"/>
              <w:left w:val="single" w:sz="4" w:space="0" w:color="auto"/>
              <w:bottom w:val="single" w:sz="4" w:space="0" w:color="auto"/>
              <w:right w:val="single" w:sz="4" w:space="0" w:color="auto"/>
            </w:tcBorders>
          </w:tcPr>
          <w:p w:rsidR="004238CF" w:rsidRDefault="004238CF" w:rsidP="00041082">
            <w:pPr>
              <w:rPr>
                <w:lang w:val="en-US"/>
              </w:rPr>
            </w:pPr>
            <w:r w:rsidRPr="00A67EAD">
              <w:rPr>
                <w:lang w:val="en-US"/>
              </w:rPr>
              <w:t>Written</w:t>
            </w:r>
            <w:r w:rsidRPr="00B60FD7">
              <w:rPr>
                <w:lang w:val="en-US"/>
              </w:rPr>
              <w:t xml:space="preserve"> premiums during the</w:t>
            </w:r>
            <w:r w:rsidRPr="002034A5">
              <w:rPr>
                <w:lang w:val="en-US"/>
              </w:rPr>
              <w:t xml:space="preserve"> period </w:t>
            </w:r>
            <w:r w:rsidR="00ED19A9">
              <w:rPr>
                <w:lang w:val="en-US"/>
              </w:rPr>
              <w:t>(</w:t>
            </w:r>
            <w:r w:rsidR="00ED19A9" w:rsidRPr="00FE4432">
              <w:rPr>
                <w:lang w:val="en-US"/>
              </w:rPr>
              <w:t>premiums actually due to be received in that year</w:t>
            </w:r>
            <w:r w:rsidR="00ED19A9">
              <w:rPr>
                <w:lang w:val="en-US"/>
              </w:rPr>
              <w:t xml:space="preserve">) </w:t>
            </w:r>
            <w:r w:rsidRPr="002034A5">
              <w:rPr>
                <w:lang w:val="en-US"/>
              </w:rPr>
              <w:t xml:space="preserve">corresponding to contracts </w:t>
            </w:r>
            <w:r w:rsidRPr="006F1C96">
              <w:rPr>
                <w:lang w:val="en-US"/>
              </w:rPr>
              <w:t>recogni</w:t>
            </w:r>
            <w:r>
              <w:rPr>
                <w:lang w:val="en-US"/>
              </w:rPr>
              <w:t>s</w:t>
            </w:r>
            <w:r w:rsidRPr="006F1C96">
              <w:rPr>
                <w:lang w:val="en-US"/>
              </w:rPr>
              <w:t xml:space="preserve">ed </w:t>
            </w:r>
            <w:r w:rsidRPr="002034A5">
              <w:rPr>
                <w:lang w:val="en-US"/>
              </w:rPr>
              <w:t>during the period</w:t>
            </w:r>
            <w:r>
              <w:rPr>
                <w:lang w:val="en-US"/>
              </w:rPr>
              <w:t xml:space="preserve">. </w:t>
            </w:r>
          </w:p>
          <w:p w:rsidR="008027E0" w:rsidRDefault="004238CF">
            <w:pPr>
              <w:rPr>
                <w:lang w:val="en-US"/>
              </w:rPr>
            </w:pPr>
            <w:r>
              <w:rPr>
                <w:lang w:val="en-US"/>
              </w:rPr>
              <w:t xml:space="preserve">Should include premiums from both existing  and new business. </w:t>
            </w:r>
          </w:p>
          <w:p w:rsidR="00FF38B7" w:rsidRDefault="004238CF" w:rsidP="00FF38B7">
            <w:pPr>
              <w:rPr>
                <w:lang w:val="en-US"/>
              </w:rPr>
            </w:pPr>
            <w:r>
              <w:rPr>
                <w:lang w:val="en-US"/>
              </w:rPr>
              <w:t>For new business there will be an impact in EoAoL</w:t>
            </w:r>
            <w:r w:rsidR="004E7D1B">
              <w:rPr>
                <w:lang w:val="en-US"/>
              </w:rPr>
              <w:t xml:space="preserve"> (</w:t>
            </w:r>
            <w:r w:rsidR="00FF38B7">
              <w:rPr>
                <w:lang w:val="en-US"/>
              </w:rPr>
              <w:t xml:space="preserve">balance of this cell and </w:t>
            </w:r>
            <w:r w:rsidR="004E7D1B">
              <w:rPr>
                <w:lang w:val="en-US"/>
              </w:rPr>
              <w:t>S.29.03.R00</w:t>
            </w:r>
            <w:r w:rsidR="00153809">
              <w:rPr>
                <w:lang w:val="en-US"/>
              </w:rPr>
              <w:t>5</w:t>
            </w:r>
            <w:r w:rsidR="004E7D1B">
              <w:rPr>
                <w:lang w:val="en-US"/>
              </w:rPr>
              <w:t>0)</w:t>
            </w:r>
            <w:r w:rsidR="008027E0">
              <w:rPr>
                <w:lang w:val="en-US"/>
              </w:rPr>
              <w:t>.</w:t>
            </w:r>
            <w:r>
              <w:rPr>
                <w:lang w:val="en-US"/>
              </w:rPr>
              <w:t xml:space="preserve"> </w:t>
            </w:r>
          </w:p>
          <w:p w:rsidR="004238CF" w:rsidRPr="00BA2A0B" w:rsidRDefault="008027E0" w:rsidP="00324385">
            <w:r>
              <w:rPr>
                <w:lang w:val="en-US"/>
              </w:rPr>
              <w:t>E</w:t>
            </w:r>
            <w:r w:rsidR="004238CF">
              <w:rPr>
                <w:lang w:val="en-US"/>
              </w:rPr>
              <w:t xml:space="preserve">xisting business should balance (not </w:t>
            </w:r>
            <w:r w:rsidR="006505FE">
              <w:rPr>
                <w:lang w:val="en-US"/>
              </w:rPr>
              <w:t>n</w:t>
            </w:r>
            <w:r w:rsidR="004238CF">
              <w:rPr>
                <w:lang w:val="en-US"/>
              </w:rPr>
              <w:t>ecessarily net</w:t>
            </w:r>
            <w:r w:rsidR="006505FE">
              <w:rPr>
                <w:lang w:val="en-US"/>
              </w:rPr>
              <w:t>ting</w:t>
            </w:r>
            <w:r w:rsidR="004238CF">
              <w:rPr>
                <w:lang w:val="en-US"/>
              </w:rPr>
              <w:t>) with corresponding variation in best estimate</w:t>
            </w:r>
            <w:r w:rsidR="00FF38B7">
              <w:rPr>
                <w:lang w:val="en-US"/>
              </w:rPr>
              <w:t xml:space="preserve"> (S.29.03.R002</w:t>
            </w:r>
            <w:r w:rsidR="00FF38B7" w:rsidRPr="008027E0">
              <w:rPr>
                <w:lang w:val="en-US"/>
              </w:rPr>
              <w:t>0</w:t>
            </w:r>
            <w:r w:rsidR="00FF38B7">
              <w:rPr>
                <w:lang w:val="en-US"/>
              </w:rPr>
              <w:t>,  S.29.03.R0080, possibly also S.29.03.R0090, S.29.03.R0100). The balance is the</w:t>
            </w:r>
            <w:r>
              <w:rPr>
                <w:lang w:val="en-US"/>
              </w:rPr>
              <w:t xml:space="preserve"> </w:t>
            </w:r>
            <w:r w:rsidR="00B2139E">
              <w:rPr>
                <w:lang w:val="en-US"/>
              </w:rPr>
              <w:t>impact in EoAoL</w:t>
            </w:r>
            <w:r w:rsidR="00FF38B7">
              <w:rPr>
                <w:lang w:val="en-US"/>
              </w:rPr>
              <w:t>.</w:t>
            </w:r>
          </w:p>
        </w:tc>
        <w:tc>
          <w:tcPr>
            <w:tcW w:w="2835" w:type="dxa"/>
            <w:tcBorders>
              <w:top w:val="single" w:sz="4" w:space="0" w:color="auto"/>
              <w:left w:val="single" w:sz="4" w:space="0" w:color="auto"/>
              <w:bottom w:val="single" w:sz="4" w:space="0" w:color="auto"/>
              <w:right w:val="single" w:sz="4" w:space="0" w:color="auto"/>
            </w:tcBorders>
          </w:tcPr>
          <w:p w:rsidR="004238CF" w:rsidRDefault="004238CF" w:rsidP="00B60FD7">
            <w:pPr>
              <w:rPr>
                <w:lang w:val="en-US"/>
              </w:rPr>
            </w:pPr>
            <w:r w:rsidRPr="00A67EAD">
              <w:rPr>
                <w:lang w:val="en-US"/>
              </w:rPr>
              <w:t>Written</w:t>
            </w:r>
            <w:r w:rsidRPr="00B60FD7">
              <w:rPr>
                <w:lang w:val="en-US"/>
              </w:rPr>
              <w:t xml:space="preserve"> premiums during the period corresponding</w:t>
            </w:r>
            <w:r w:rsidRPr="002034A5">
              <w:rPr>
                <w:lang w:val="en-US"/>
              </w:rPr>
              <w:t xml:space="preserve"> to </w:t>
            </w:r>
            <w:r w:rsidRPr="006F1C96">
              <w:rPr>
                <w:lang w:val="en-US"/>
              </w:rPr>
              <w:t xml:space="preserve">new </w:t>
            </w:r>
            <w:r w:rsidRPr="002034A5">
              <w:rPr>
                <w:lang w:val="en-US"/>
              </w:rPr>
              <w:t xml:space="preserve">contracts </w:t>
            </w:r>
            <w:r w:rsidRPr="006F1C96">
              <w:rPr>
                <w:lang w:val="en-US"/>
              </w:rPr>
              <w:t>recogni</w:t>
            </w:r>
            <w:r>
              <w:rPr>
                <w:lang w:val="en-US"/>
              </w:rPr>
              <w:t>s</w:t>
            </w:r>
            <w:r w:rsidRPr="006F1C96">
              <w:rPr>
                <w:lang w:val="en-US"/>
              </w:rPr>
              <w:t xml:space="preserve">ed </w:t>
            </w:r>
            <w:r w:rsidRPr="002034A5">
              <w:rPr>
                <w:lang w:val="en-US"/>
              </w:rPr>
              <w:t>during the period</w:t>
            </w:r>
            <w:r>
              <w:rPr>
                <w:lang w:val="en-US"/>
              </w:rPr>
              <w:t xml:space="preserve">. </w:t>
            </w:r>
          </w:p>
          <w:p w:rsidR="004238CF" w:rsidRPr="00C02939" w:rsidRDefault="004238CF" w:rsidP="00041082">
            <w:pPr>
              <w:rPr>
                <w:lang w:val="en-US"/>
              </w:rPr>
            </w:pPr>
          </w:p>
        </w:tc>
      </w:tr>
      <w:tr w:rsidR="00FF38B7" w:rsidRPr="00393BBA" w:rsidTr="003E2030">
        <w:tc>
          <w:tcPr>
            <w:tcW w:w="1050" w:type="dxa"/>
            <w:tcBorders>
              <w:top w:val="single" w:sz="4" w:space="0" w:color="auto"/>
              <w:left w:val="single" w:sz="4" w:space="0" w:color="auto"/>
              <w:bottom w:val="single" w:sz="4" w:space="0" w:color="auto"/>
              <w:right w:val="single" w:sz="4" w:space="0" w:color="auto"/>
            </w:tcBorders>
          </w:tcPr>
          <w:p w:rsidR="004238CF" w:rsidRPr="00AD7EC0" w:rsidRDefault="004238CF" w:rsidP="00041082">
            <w:pPr>
              <w:rPr>
                <w:lang w:val="en-US"/>
              </w:rPr>
            </w:pPr>
            <w:r w:rsidRPr="00AD7EC0">
              <w:rPr>
                <w:lang w:val="en-US"/>
              </w:rPr>
              <w:t xml:space="preserve">Claims and Benefits during the period, net of salvages and subrogations </w:t>
            </w:r>
          </w:p>
          <w:p w:rsidR="004238CF" w:rsidRPr="00177DC9" w:rsidRDefault="004238CF" w:rsidP="00041082">
            <w:r w:rsidRPr="00AD7EC0">
              <w:rPr>
                <w:rFonts w:ascii="Times New Roman" w:hAnsi="Times New Roman"/>
              </w:rPr>
              <w:t>(</w:t>
            </w:r>
            <w:r w:rsidRPr="00AD7EC0">
              <w:t>R0320</w:t>
            </w:r>
            <w:r w:rsidRPr="00AD7EC0">
              <w:rPr>
                <w:rFonts w:ascii="Times New Roman" w:hAnsi="Times New Roman"/>
              </w:rPr>
              <w:t>)</w:t>
            </w:r>
          </w:p>
        </w:tc>
        <w:tc>
          <w:tcPr>
            <w:tcW w:w="1867" w:type="dxa"/>
            <w:tcBorders>
              <w:top w:val="single" w:sz="4" w:space="0" w:color="auto"/>
              <w:left w:val="single" w:sz="4" w:space="0" w:color="auto"/>
              <w:bottom w:val="single" w:sz="4" w:space="0" w:color="auto"/>
              <w:right w:val="single" w:sz="4" w:space="0" w:color="auto"/>
            </w:tcBorders>
          </w:tcPr>
          <w:p w:rsidR="003111A4" w:rsidRPr="00AD7EC0" w:rsidRDefault="004238CF" w:rsidP="00AF1CE3">
            <w:pPr>
              <w:rPr>
                <w:lang w:val="en-US"/>
              </w:rPr>
            </w:pPr>
            <w:r w:rsidRPr="00AD7EC0">
              <w:rPr>
                <w:lang w:val="en-US"/>
              </w:rPr>
              <w:t xml:space="preserve">Amount of claims and benefits during the period, net of salvages and subrogations, respectively for Life and Non-life </w:t>
            </w:r>
            <w:r w:rsidRPr="00C02939">
              <w:rPr>
                <w:lang w:val="en-US"/>
              </w:rPr>
              <w:t xml:space="preserve">not </w:t>
            </w:r>
            <w:r>
              <w:rPr>
                <w:lang w:val="en-US"/>
              </w:rPr>
              <w:t>reflected in the closing best estimate</w:t>
            </w:r>
            <w:r w:rsidRPr="00AD7EC0">
              <w:rPr>
                <w:lang w:val="en-US"/>
              </w:rPr>
              <w:t>.</w:t>
            </w:r>
          </w:p>
        </w:tc>
        <w:tc>
          <w:tcPr>
            <w:tcW w:w="2611" w:type="dxa"/>
            <w:tcBorders>
              <w:top w:val="single" w:sz="4" w:space="0" w:color="auto"/>
              <w:left w:val="single" w:sz="4" w:space="0" w:color="auto"/>
              <w:bottom w:val="single" w:sz="4" w:space="0" w:color="auto"/>
              <w:right w:val="single" w:sz="4" w:space="0" w:color="auto"/>
            </w:tcBorders>
          </w:tcPr>
          <w:p w:rsidR="004238CF" w:rsidRDefault="004238CF" w:rsidP="00041082">
            <w:pPr>
              <w:rPr>
                <w:lang w:val="en-US"/>
              </w:rPr>
            </w:pPr>
            <w:r>
              <w:rPr>
                <w:lang w:val="en-US"/>
              </w:rPr>
              <w:t xml:space="preserve">Cash-flows regarding claims and benefits settled which cash-flows, if previously projected, are no longer in the closing best estimate. </w:t>
            </w:r>
          </w:p>
          <w:p w:rsidR="004238CF" w:rsidRDefault="004238CF" w:rsidP="00041082">
            <w:pPr>
              <w:rPr>
                <w:lang w:val="en-US"/>
              </w:rPr>
            </w:pPr>
            <w:r>
              <w:rPr>
                <w:lang w:val="en-US"/>
              </w:rPr>
              <w:t xml:space="preserve">Example: </w:t>
            </w:r>
          </w:p>
          <w:p w:rsidR="004238CF" w:rsidRPr="00AD7EC0" w:rsidRDefault="004238CF">
            <w:pPr>
              <w:rPr>
                <w:lang w:val="en-US"/>
              </w:rPr>
            </w:pPr>
            <w:r>
              <w:rPr>
                <w:lang w:val="en-US"/>
              </w:rPr>
              <w:t xml:space="preserve">Payment following one death. </w:t>
            </w:r>
          </w:p>
        </w:tc>
        <w:tc>
          <w:tcPr>
            <w:tcW w:w="2835" w:type="dxa"/>
            <w:tcBorders>
              <w:top w:val="single" w:sz="4" w:space="0" w:color="auto"/>
              <w:left w:val="single" w:sz="4" w:space="0" w:color="auto"/>
              <w:bottom w:val="single" w:sz="4" w:space="0" w:color="auto"/>
              <w:right w:val="single" w:sz="4" w:space="0" w:color="auto"/>
            </w:tcBorders>
          </w:tcPr>
          <w:p w:rsidR="004238CF" w:rsidRPr="00117899" w:rsidRDefault="004238CF" w:rsidP="00041082">
            <w:pPr>
              <w:pStyle w:val="Default"/>
              <w:rPr>
                <w:rFonts w:asciiTheme="minorHAnsi" w:hAnsiTheme="minorHAnsi" w:cstheme="minorBidi"/>
                <w:color w:val="auto"/>
                <w:sz w:val="22"/>
                <w:szCs w:val="22"/>
                <w:lang w:val="en-US"/>
              </w:rPr>
            </w:pPr>
            <w:r w:rsidRPr="00117899">
              <w:rPr>
                <w:rFonts w:asciiTheme="minorHAnsi" w:hAnsiTheme="minorHAnsi" w:cstheme="minorBidi"/>
                <w:color w:val="auto"/>
                <w:sz w:val="22"/>
                <w:szCs w:val="22"/>
                <w:lang w:val="en-US"/>
              </w:rPr>
              <w:t>Cash</w:t>
            </w:r>
            <w:r w:rsidRPr="005A5133">
              <w:rPr>
                <w:rFonts w:asciiTheme="minorHAnsi" w:hAnsiTheme="minorHAnsi" w:cstheme="minorBidi"/>
                <w:color w:val="auto"/>
                <w:sz w:val="22"/>
                <w:szCs w:val="22"/>
                <w:lang w:val="en-US"/>
              </w:rPr>
              <w:t xml:space="preserve"> </w:t>
            </w:r>
            <w:r w:rsidRPr="00117899">
              <w:rPr>
                <w:rFonts w:asciiTheme="minorHAnsi" w:hAnsiTheme="minorHAnsi" w:cstheme="minorBidi"/>
                <w:color w:val="auto"/>
                <w:sz w:val="22"/>
                <w:szCs w:val="22"/>
                <w:lang w:val="en-US"/>
              </w:rPr>
              <w:t>-flows regarding claims and benefits settled which cash-flows</w:t>
            </w:r>
            <w:r>
              <w:rPr>
                <w:rFonts w:asciiTheme="minorHAnsi" w:hAnsiTheme="minorHAnsi" w:cstheme="minorBidi"/>
                <w:color w:val="auto"/>
                <w:sz w:val="22"/>
                <w:szCs w:val="22"/>
                <w:lang w:val="en-US"/>
              </w:rPr>
              <w:t>, if</w:t>
            </w:r>
            <w:r w:rsidRPr="00117899">
              <w:rPr>
                <w:rFonts w:asciiTheme="minorHAnsi" w:hAnsiTheme="minorHAnsi" w:cstheme="minorBidi"/>
                <w:color w:val="auto"/>
                <w:sz w:val="22"/>
                <w:szCs w:val="22"/>
                <w:lang w:val="en-US"/>
              </w:rPr>
              <w:t xml:space="preserve"> previously projected</w:t>
            </w:r>
            <w:r>
              <w:rPr>
                <w:rFonts w:asciiTheme="minorHAnsi" w:hAnsiTheme="minorHAnsi" w:cstheme="minorBidi"/>
                <w:color w:val="auto"/>
                <w:sz w:val="22"/>
                <w:szCs w:val="22"/>
                <w:lang w:val="en-US"/>
              </w:rPr>
              <w:t>,</w:t>
            </w:r>
            <w:r w:rsidRPr="00117899">
              <w:rPr>
                <w:rFonts w:asciiTheme="minorHAnsi" w:hAnsiTheme="minorHAnsi" w:cstheme="minorBidi"/>
                <w:color w:val="auto"/>
                <w:sz w:val="22"/>
                <w:szCs w:val="22"/>
                <w:lang w:val="en-US"/>
              </w:rPr>
              <w:t xml:space="preserve"> are no longer in the closing best estimate</w:t>
            </w:r>
          </w:p>
        </w:tc>
      </w:tr>
      <w:tr w:rsidR="00FF38B7" w:rsidRPr="00393BBA" w:rsidTr="003E2030">
        <w:tc>
          <w:tcPr>
            <w:tcW w:w="1050" w:type="dxa"/>
            <w:tcBorders>
              <w:top w:val="single" w:sz="4" w:space="0" w:color="auto"/>
              <w:left w:val="single" w:sz="4" w:space="0" w:color="auto"/>
              <w:bottom w:val="single" w:sz="4" w:space="0" w:color="auto"/>
              <w:right w:val="single" w:sz="4" w:space="0" w:color="auto"/>
            </w:tcBorders>
          </w:tcPr>
          <w:p w:rsidR="004238CF" w:rsidRDefault="004238CF" w:rsidP="00041082">
            <w:pPr>
              <w:rPr>
                <w:lang w:val="en-US"/>
              </w:rPr>
            </w:pPr>
            <w:r w:rsidRPr="00112FAB">
              <w:rPr>
                <w:lang w:val="en-US"/>
              </w:rPr>
              <w:t>Expenses (excluding Investment expenses)</w:t>
            </w:r>
          </w:p>
          <w:p w:rsidR="004238CF" w:rsidRDefault="004238CF" w:rsidP="00041082">
            <w:pPr>
              <w:rPr>
                <w:lang w:val="en-US"/>
              </w:rPr>
            </w:pPr>
            <w:r>
              <w:rPr>
                <w:lang w:val="en-US"/>
              </w:rPr>
              <w:t>(R0330)</w:t>
            </w:r>
          </w:p>
        </w:tc>
        <w:tc>
          <w:tcPr>
            <w:tcW w:w="1867" w:type="dxa"/>
            <w:tcBorders>
              <w:top w:val="single" w:sz="4" w:space="0" w:color="auto"/>
              <w:left w:val="single" w:sz="4" w:space="0" w:color="auto"/>
              <w:bottom w:val="single" w:sz="4" w:space="0" w:color="auto"/>
              <w:right w:val="single" w:sz="4" w:space="0" w:color="auto"/>
            </w:tcBorders>
          </w:tcPr>
          <w:p w:rsidR="003111A4" w:rsidRPr="00AD7EC0" w:rsidRDefault="004238CF" w:rsidP="0068769C">
            <w:pPr>
              <w:rPr>
                <w:rFonts w:ascii="Times New Roman" w:hAnsi="Times New Roman"/>
                <w:lang w:val="en-US"/>
              </w:rPr>
            </w:pPr>
            <w:r w:rsidRPr="00C02939">
              <w:rPr>
                <w:lang w:val="en-US"/>
              </w:rPr>
              <w:t xml:space="preserve">Amount of expenses (excluding investment expenses – which are reported under S.29.02) not </w:t>
            </w:r>
            <w:r>
              <w:rPr>
                <w:lang w:val="en-US"/>
              </w:rPr>
              <w:t>reflected in the closing best estimate</w:t>
            </w:r>
            <w:r w:rsidR="0068769C">
              <w:rPr>
                <w:lang w:val="en-US"/>
              </w:rPr>
              <w:t>.</w:t>
            </w:r>
            <w:r w:rsidR="005412A6">
              <w:rPr>
                <w:lang w:val="en-US"/>
              </w:rPr>
              <w:t xml:space="preserve"> </w:t>
            </w:r>
          </w:p>
        </w:tc>
        <w:tc>
          <w:tcPr>
            <w:tcW w:w="2611" w:type="dxa"/>
            <w:tcBorders>
              <w:top w:val="single" w:sz="4" w:space="0" w:color="auto"/>
              <w:left w:val="single" w:sz="4" w:space="0" w:color="auto"/>
              <w:bottom w:val="single" w:sz="4" w:space="0" w:color="auto"/>
              <w:right w:val="single" w:sz="4" w:space="0" w:color="auto"/>
            </w:tcBorders>
          </w:tcPr>
          <w:p w:rsidR="004238CF" w:rsidRDefault="004238CF" w:rsidP="00041082">
            <w:pPr>
              <w:rPr>
                <w:lang w:val="en-US"/>
              </w:rPr>
            </w:pPr>
            <w:r>
              <w:rPr>
                <w:lang w:val="en-US"/>
              </w:rPr>
              <w:t xml:space="preserve">Cash-flows paid regarding expenses. </w:t>
            </w:r>
          </w:p>
          <w:p w:rsidR="004238CF" w:rsidRPr="005D6900" w:rsidRDefault="004238CF">
            <w:pPr>
              <w:rPr>
                <w:lang w:val="en-US"/>
              </w:rPr>
            </w:pPr>
            <w:r>
              <w:rPr>
                <w:lang w:val="en-US"/>
              </w:rPr>
              <w:t xml:space="preserve">It should exclude flows related to </w:t>
            </w:r>
            <w:r w:rsidRPr="00C02939">
              <w:rPr>
                <w:lang w:val="en-US"/>
              </w:rPr>
              <w:t>investment expenses  which are reported under S.29.02</w:t>
            </w:r>
            <w:r>
              <w:rPr>
                <w:lang w:val="en-US"/>
              </w:rPr>
              <w:t xml:space="preserve">. </w:t>
            </w:r>
          </w:p>
        </w:tc>
        <w:tc>
          <w:tcPr>
            <w:tcW w:w="2835" w:type="dxa"/>
            <w:tcBorders>
              <w:top w:val="single" w:sz="4" w:space="0" w:color="auto"/>
              <w:left w:val="single" w:sz="4" w:space="0" w:color="auto"/>
              <w:bottom w:val="single" w:sz="4" w:space="0" w:color="auto"/>
              <w:right w:val="single" w:sz="4" w:space="0" w:color="auto"/>
            </w:tcBorders>
          </w:tcPr>
          <w:p w:rsidR="004238CF" w:rsidRDefault="004238CF" w:rsidP="004238CF">
            <w:pPr>
              <w:rPr>
                <w:lang w:val="en-US"/>
              </w:rPr>
            </w:pPr>
            <w:r w:rsidRPr="007853BA">
              <w:rPr>
                <w:lang w:val="en-US"/>
              </w:rPr>
              <w:t>Cash-flows paid regarding expenses</w:t>
            </w:r>
            <w:r>
              <w:rPr>
                <w:lang w:val="en-US"/>
              </w:rPr>
              <w:t xml:space="preserve">. </w:t>
            </w:r>
          </w:p>
          <w:p w:rsidR="004238CF" w:rsidRPr="00AD7EC0" w:rsidRDefault="004238CF" w:rsidP="004238CF">
            <w:pPr>
              <w:pStyle w:val="Default"/>
              <w:rPr>
                <w:rStyle w:val="CommentReference"/>
                <w:rFonts w:asciiTheme="minorHAnsi" w:hAnsiTheme="minorHAnsi"/>
                <w:color w:val="auto"/>
                <w:lang w:val="en-US"/>
              </w:rPr>
            </w:pPr>
            <w:r w:rsidRPr="00117899">
              <w:rPr>
                <w:rFonts w:asciiTheme="minorHAnsi" w:hAnsiTheme="minorHAnsi" w:cstheme="minorBidi"/>
                <w:color w:val="auto"/>
                <w:sz w:val="22"/>
                <w:szCs w:val="22"/>
                <w:lang w:val="en-US"/>
              </w:rPr>
              <w:t>It should exclude flows related to investment expenses  which are reported under S.29.02.</w:t>
            </w:r>
          </w:p>
        </w:tc>
      </w:tr>
      <w:tr w:rsidR="00FF38B7" w:rsidRPr="00393BBA" w:rsidTr="003E2030">
        <w:tc>
          <w:tcPr>
            <w:tcW w:w="1050" w:type="dxa"/>
            <w:tcBorders>
              <w:top w:val="single" w:sz="4" w:space="0" w:color="auto"/>
              <w:left w:val="single" w:sz="4" w:space="0" w:color="auto"/>
              <w:bottom w:val="single" w:sz="4" w:space="0" w:color="auto"/>
              <w:right w:val="single" w:sz="4" w:space="0" w:color="auto"/>
            </w:tcBorders>
          </w:tcPr>
          <w:p w:rsidR="004238CF" w:rsidRDefault="004238CF" w:rsidP="00041082">
            <w:pPr>
              <w:rPr>
                <w:lang w:val="en-US"/>
              </w:rPr>
            </w:pPr>
            <w:r w:rsidRPr="00112FAB">
              <w:rPr>
                <w:lang w:val="en-US"/>
              </w:rPr>
              <w:t>Technical flows related to reinsurance during the period (recoverables received net of premiums paid)</w:t>
            </w:r>
          </w:p>
          <w:p w:rsidR="004238CF" w:rsidRDefault="004238CF" w:rsidP="00041082">
            <w:pPr>
              <w:rPr>
                <w:lang w:val="en-US"/>
              </w:rPr>
            </w:pPr>
            <w:r>
              <w:rPr>
                <w:lang w:val="en-US"/>
              </w:rPr>
              <w:t>(R0350)</w:t>
            </w:r>
          </w:p>
        </w:tc>
        <w:tc>
          <w:tcPr>
            <w:tcW w:w="1867" w:type="dxa"/>
            <w:tcBorders>
              <w:top w:val="single" w:sz="4" w:space="0" w:color="auto"/>
              <w:left w:val="single" w:sz="4" w:space="0" w:color="auto"/>
              <w:bottom w:val="single" w:sz="4" w:space="0" w:color="auto"/>
              <w:right w:val="single" w:sz="4" w:space="0" w:color="auto"/>
            </w:tcBorders>
          </w:tcPr>
          <w:p w:rsidR="004238CF" w:rsidRPr="00AD7EC0" w:rsidRDefault="004238CF" w:rsidP="00041082">
            <w:pPr>
              <w:rPr>
                <w:rFonts w:ascii="Times New Roman" w:hAnsi="Times New Roman"/>
                <w:lang w:val="en-US"/>
              </w:rPr>
            </w:pPr>
            <w:r w:rsidRPr="00C02939">
              <w:rPr>
                <w:lang w:val="en-US"/>
              </w:rPr>
              <w:t>Total amount of technical flows related to reinsurance recoverable during the period, i.e. recoverable received net of premiums,</w:t>
            </w:r>
          </w:p>
        </w:tc>
        <w:tc>
          <w:tcPr>
            <w:tcW w:w="2611" w:type="dxa"/>
            <w:tcBorders>
              <w:top w:val="single" w:sz="4" w:space="0" w:color="auto"/>
              <w:left w:val="single" w:sz="4" w:space="0" w:color="auto"/>
              <w:bottom w:val="single" w:sz="4" w:space="0" w:color="auto"/>
              <w:right w:val="single" w:sz="4" w:space="0" w:color="auto"/>
            </w:tcBorders>
          </w:tcPr>
          <w:p w:rsidR="004238CF" w:rsidRPr="005D6900" w:rsidRDefault="004238CF" w:rsidP="00041082">
            <w:pPr>
              <w:rPr>
                <w:lang w:val="en-US"/>
              </w:rPr>
            </w:pPr>
            <w:r>
              <w:rPr>
                <w:lang w:val="en-US"/>
              </w:rPr>
              <w:t>Cash-flows paid and received regarding reinsurance recoverables</w:t>
            </w:r>
          </w:p>
        </w:tc>
        <w:tc>
          <w:tcPr>
            <w:tcW w:w="2835" w:type="dxa"/>
            <w:tcBorders>
              <w:top w:val="single" w:sz="4" w:space="0" w:color="auto"/>
              <w:left w:val="single" w:sz="4" w:space="0" w:color="auto"/>
              <w:bottom w:val="single" w:sz="4" w:space="0" w:color="auto"/>
              <w:right w:val="single" w:sz="4" w:space="0" w:color="auto"/>
            </w:tcBorders>
          </w:tcPr>
          <w:p w:rsidR="004238CF" w:rsidRPr="00AD7EC0" w:rsidRDefault="004238CF" w:rsidP="00041082">
            <w:pPr>
              <w:pStyle w:val="Default"/>
              <w:rPr>
                <w:rStyle w:val="CommentReference"/>
                <w:rFonts w:asciiTheme="minorHAnsi" w:hAnsiTheme="minorHAnsi"/>
                <w:color w:val="auto"/>
                <w:lang w:val="en-US"/>
              </w:rPr>
            </w:pPr>
            <w:r w:rsidRPr="007853BA">
              <w:rPr>
                <w:rFonts w:asciiTheme="minorHAnsi" w:hAnsiTheme="minorHAnsi"/>
                <w:color w:val="auto"/>
                <w:sz w:val="22"/>
                <w:lang w:val="en-US"/>
              </w:rPr>
              <w:t>Cash-flows paid and received regarding reinsurance recoverables</w:t>
            </w:r>
          </w:p>
        </w:tc>
      </w:tr>
    </w:tbl>
    <w:p w:rsidR="0014486A" w:rsidRPr="00AD7EC0" w:rsidRDefault="0014486A" w:rsidP="007853BA">
      <w:pPr>
        <w:pStyle w:val="ListParagraph"/>
        <w:ind w:left="709"/>
        <w:jc w:val="both"/>
        <w:rPr>
          <w:rFonts w:ascii="Verdana" w:hAnsi="Verdana"/>
          <w:lang w:val="en-US"/>
        </w:rPr>
      </w:pPr>
    </w:p>
    <w:p w:rsidR="004B1E4A" w:rsidRPr="007853BA" w:rsidRDefault="004B1E4A" w:rsidP="00AD7EC0">
      <w:pPr>
        <w:pStyle w:val="ListParagraph"/>
        <w:numPr>
          <w:ilvl w:val="0"/>
          <w:numId w:val="9"/>
        </w:numPr>
        <w:ind w:left="709" w:hanging="709"/>
        <w:jc w:val="both"/>
        <w:rPr>
          <w:rFonts w:ascii="Verdana" w:hAnsi="Verdana"/>
          <w:lang w:val="en-US"/>
        </w:rPr>
      </w:pPr>
      <w:r w:rsidRPr="007853BA">
        <w:rPr>
          <w:rFonts w:ascii="Verdana" w:hAnsi="Verdana"/>
          <w:lang w:val="en-US"/>
        </w:rPr>
        <w:t xml:space="preserve">The </w:t>
      </w:r>
      <w:r w:rsidRPr="007140FC">
        <w:rPr>
          <w:rFonts w:ascii="Verdana" w:hAnsi="Verdana"/>
          <w:lang w:val="en-US"/>
        </w:rPr>
        <w:t xml:space="preserve">variation in </w:t>
      </w:r>
      <w:r w:rsidR="006104FE">
        <w:rPr>
          <w:rFonts w:ascii="Verdana" w:hAnsi="Verdana"/>
          <w:lang w:val="en-US"/>
        </w:rPr>
        <w:t>EoAoL</w:t>
      </w:r>
      <w:r w:rsidRPr="007140FC">
        <w:rPr>
          <w:rFonts w:ascii="Verdana" w:hAnsi="Verdana"/>
          <w:lang w:val="en-US"/>
        </w:rPr>
        <w:t xml:space="preserve"> explained by </w:t>
      </w:r>
      <w:r w:rsidR="006104FE">
        <w:rPr>
          <w:rFonts w:ascii="Verdana" w:hAnsi="Verdana"/>
          <w:lang w:val="en-US"/>
        </w:rPr>
        <w:t>t</w:t>
      </w:r>
      <w:r w:rsidRPr="007140FC">
        <w:rPr>
          <w:rFonts w:ascii="Verdana" w:hAnsi="Verdana"/>
          <w:lang w:val="en-US"/>
        </w:rPr>
        <w:t xml:space="preserve">echnical provisions </w:t>
      </w:r>
      <w:r w:rsidR="004E7D1B">
        <w:rPr>
          <w:rFonts w:ascii="Verdana" w:hAnsi="Verdana"/>
          <w:lang w:val="en-US"/>
        </w:rPr>
        <w:t>-</w:t>
      </w:r>
      <w:r w:rsidR="00821E4C">
        <w:rPr>
          <w:rFonts w:ascii="Verdana" w:hAnsi="Verdana"/>
          <w:lang w:val="en-US"/>
        </w:rPr>
        <w:t xml:space="preserve"> </w:t>
      </w:r>
      <w:r w:rsidRPr="007140FC">
        <w:rPr>
          <w:rFonts w:ascii="Verdana" w:hAnsi="Verdana"/>
          <w:lang w:val="en-US"/>
        </w:rPr>
        <w:t>is then calculated</w:t>
      </w:r>
      <w:r w:rsidR="00A760D0" w:rsidRPr="00FA044C">
        <w:rPr>
          <w:rFonts w:ascii="Verdana" w:hAnsi="Verdana"/>
          <w:lang w:val="en-US"/>
        </w:rPr>
        <w:t>, considering</w:t>
      </w:r>
      <w:r w:rsidRPr="007853BA">
        <w:rPr>
          <w:rFonts w:ascii="Verdana" w:hAnsi="Verdana"/>
          <w:lang w:val="en-US"/>
        </w:rPr>
        <w:t xml:space="preserve"> </w:t>
      </w:r>
      <w:r w:rsidRPr="007140FC">
        <w:rPr>
          <w:rFonts w:ascii="Verdana" w:hAnsi="Verdana"/>
          <w:lang w:val="en-US"/>
        </w:rPr>
        <w:t xml:space="preserve">the amounts of </w:t>
      </w:r>
      <w:r w:rsidR="00980E98">
        <w:rPr>
          <w:rFonts w:ascii="Verdana" w:hAnsi="Verdana"/>
          <w:lang w:val="en-US"/>
        </w:rPr>
        <w:t xml:space="preserve">gross </w:t>
      </w:r>
      <w:r w:rsidRPr="007140FC">
        <w:rPr>
          <w:rFonts w:ascii="Verdana" w:hAnsi="Verdana"/>
          <w:lang w:val="en-US"/>
        </w:rPr>
        <w:t>best estimate, risk margin</w:t>
      </w:r>
      <w:r w:rsidR="009928DB">
        <w:rPr>
          <w:rFonts w:ascii="Verdana" w:hAnsi="Verdana"/>
          <w:lang w:val="en-US"/>
        </w:rPr>
        <w:t>,</w:t>
      </w:r>
      <w:r w:rsidRPr="007140FC">
        <w:rPr>
          <w:rFonts w:ascii="Verdana" w:hAnsi="Verdana"/>
          <w:lang w:val="en-US"/>
        </w:rPr>
        <w:t xml:space="preserve"> technical provisions calculated as a whole</w:t>
      </w:r>
      <w:r w:rsidR="00E11687">
        <w:rPr>
          <w:rFonts w:ascii="Verdana" w:hAnsi="Verdana"/>
          <w:lang w:val="en-US"/>
        </w:rPr>
        <w:t xml:space="preserve"> and</w:t>
      </w:r>
      <w:r w:rsidR="004E7D1B">
        <w:rPr>
          <w:rFonts w:ascii="Verdana" w:hAnsi="Verdana"/>
          <w:lang w:val="en-US"/>
        </w:rPr>
        <w:t xml:space="preserve"> </w:t>
      </w:r>
      <w:r w:rsidR="009928DB" w:rsidRPr="00393A25">
        <w:rPr>
          <w:rFonts w:ascii="Verdana" w:hAnsi="Verdana"/>
          <w:lang w:val="en-US"/>
        </w:rPr>
        <w:t xml:space="preserve">transitional measure on </w:t>
      </w:r>
      <w:r w:rsidR="006104FE">
        <w:rPr>
          <w:rFonts w:ascii="Verdana" w:hAnsi="Verdana"/>
          <w:lang w:val="en-US"/>
        </w:rPr>
        <w:t>t</w:t>
      </w:r>
      <w:r w:rsidR="009928DB" w:rsidRPr="00393A25">
        <w:rPr>
          <w:rFonts w:ascii="Verdana" w:hAnsi="Verdana"/>
          <w:lang w:val="en-US"/>
        </w:rPr>
        <w:t xml:space="preserve">echnical </w:t>
      </w:r>
      <w:r w:rsidR="006104FE">
        <w:rPr>
          <w:rFonts w:ascii="Verdana" w:hAnsi="Verdana"/>
          <w:lang w:val="en-US"/>
        </w:rPr>
        <w:t>p</w:t>
      </w:r>
      <w:r w:rsidR="009928DB" w:rsidRPr="00393A25">
        <w:rPr>
          <w:rFonts w:ascii="Verdana" w:hAnsi="Verdana"/>
          <w:lang w:val="en-US"/>
        </w:rPr>
        <w:t>rovisions</w:t>
      </w:r>
      <w:r w:rsidR="00E11687">
        <w:rPr>
          <w:rFonts w:ascii="Verdana" w:hAnsi="Verdana"/>
          <w:lang w:val="en-US"/>
        </w:rPr>
        <w:t xml:space="preserve"> (R0360)</w:t>
      </w:r>
      <w:r w:rsidRPr="007140FC">
        <w:rPr>
          <w:rFonts w:ascii="Verdana" w:hAnsi="Verdana"/>
          <w:lang w:val="en-US"/>
        </w:rPr>
        <w:t xml:space="preserve"> and also the reinsurance recoverables</w:t>
      </w:r>
      <w:r w:rsidR="004E7D1B">
        <w:rPr>
          <w:rFonts w:ascii="Verdana" w:hAnsi="Verdana"/>
          <w:lang w:val="en-US"/>
        </w:rPr>
        <w:t xml:space="preserve"> (R0370)</w:t>
      </w:r>
      <w:r w:rsidRPr="007140FC">
        <w:rPr>
          <w:rFonts w:ascii="Verdana" w:hAnsi="Verdana"/>
          <w:lang w:val="en-US"/>
        </w:rPr>
        <w:t>. This should correspond to:</w:t>
      </w:r>
    </w:p>
    <w:p w:rsidR="004B1E4A" w:rsidRPr="00AD7EC0" w:rsidRDefault="004B1E4A" w:rsidP="00AD7EC0">
      <w:pPr>
        <w:pStyle w:val="ListParagraph"/>
        <w:numPr>
          <w:ilvl w:val="0"/>
          <w:numId w:val="12"/>
        </w:numPr>
        <w:spacing w:after="0"/>
        <w:ind w:left="1134"/>
        <w:jc w:val="both"/>
        <w:rPr>
          <w:rFonts w:ascii="Verdana" w:hAnsi="Verdana"/>
          <w:lang w:val="en-US"/>
        </w:rPr>
      </w:pPr>
      <w:r w:rsidRPr="00AD7EC0">
        <w:rPr>
          <w:rFonts w:ascii="Verdana" w:hAnsi="Verdana"/>
          <w:lang w:val="en-US"/>
        </w:rPr>
        <w:t xml:space="preserve">the variation in </w:t>
      </w:r>
      <w:r w:rsidR="006104FE">
        <w:rPr>
          <w:rFonts w:ascii="Verdana" w:hAnsi="Verdana"/>
          <w:lang w:val="en-US"/>
        </w:rPr>
        <w:t>best estimate</w:t>
      </w:r>
      <w:r w:rsidR="006104FE" w:rsidRPr="00AD7EC0">
        <w:rPr>
          <w:rFonts w:ascii="Verdana" w:hAnsi="Verdana"/>
          <w:lang w:val="en-US"/>
        </w:rPr>
        <w:t xml:space="preserve"> </w:t>
      </w:r>
      <w:r w:rsidRPr="00AD7EC0">
        <w:rPr>
          <w:rFonts w:ascii="Verdana" w:hAnsi="Verdana"/>
          <w:lang w:val="en-US"/>
        </w:rPr>
        <w:t>(</w:t>
      </w:r>
      <w:r w:rsidR="00A07747">
        <w:rPr>
          <w:rFonts w:ascii="Verdana" w:hAnsi="Verdana"/>
          <w:lang w:val="en-US"/>
        </w:rPr>
        <w:t>opening</w:t>
      </w:r>
      <w:r w:rsidR="00710442" w:rsidRPr="00AD7EC0">
        <w:rPr>
          <w:rFonts w:ascii="Verdana" w:hAnsi="Verdana"/>
          <w:lang w:val="en-US"/>
        </w:rPr>
        <w:t xml:space="preserve"> </w:t>
      </w:r>
      <w:r w:rsidRPr="00AD7EC0">
        <w:rPr>
          <w:rFonts w:ascii="Verdana" w:hAnsi="Verdana"/>
          <w:lang w:val="en-US"/>
        </w:rPr>
        <w:t xml:space="preserve">best estimate minus </w:t>
      </w:r>
      <w:r w:rsidR="00A07747">
        <w:rPr>
          <w:rFonts w:ascii="Verdana" w:hAnsi="Verdana"/>
          <w:lang w:val="en-US"/>
        </w:rPr>
        <w:t>closing</w:t>
      </w:r>
      <w:r w:rsidR="00160294">
        <w:rPr>
          <w:rFonts w:ascii="Verdana" w:hAnsi="Verdana"/>
          <w:lang w:val="en-US"/>
        </w:rPr>
        <w:t xml:space="preserve"> </w:t>
      </w:r>
      <w:r w:rsidRPr="00AD7EC0">
        <w:rPr>
          <w:rFonts w:ascii="Verdana" w:hAnsi="Verdana"/>
          <w:lang w:val="en-US"/>
        </w:rPr>
        <w:t>best estimate), variation of risk margin (between end of previous year and the reporting year)</w:t>
      </w:r>
      <w:r w:rsidR="009928DB">
        <w:rPr>
          <w:rFonts w:ascii="Verdana" w:hAnsi="Verdana"/>
          <w:lang w:val="en-US"/>
        </w:rPr>
        <w:t>,</w:t>
      </w:r>
      <w:r w:rsidRPr="00AD7EC0">
        <w:rPr>
          <w:rFonts w:ascii="Verdana" w:hAnsi="Verdana"/>
          <w:lang w:val="en-US"/>
        </w:rPr>
        <w:t xml:space="preserve"> variation of </w:t>
      </w:r>
      <w:r w:rsidR="006104FE">
        <w:rPr>
          <w:rFonts w:ascii="Verdana" w:hAnsi="Verdana"/>
          <w:lang w:val="en-US"/>
        </w:rPr>
        <w:t>technical provision</w:t>
      </w:r>
      <w:r w:rsidR="006104FE" w:rsidRPr="00AD7EC0">
        <w:rPr>
          <w:rFonts w:ascii="Verdana" w:hAnsi="Verdana"/>
          <w:lang w:val="en-US"/>
        </w:rPr>
        <w:t xml:space="preserve"> </w:t>
      </w:r>
      <w:r w:rsidRPr="00AD7EC0">
        <w:rPr>
          <w:rFonts w:ascii="Verdana" w:hAnsi="Verdana"/>
          <w:lang w:val="en-US"/>
        </w:rPr>
        <w:t>calculated as a whole (between end of previous year and the reporting year)</w:t>
      </w:r>
      <w:r w:rsidR="009928DB">
        <w:rPr>
          <w:rFonts w:ascii="Verdana" w:hAnsi="Verdana"/>
          <w:lang w:val="en-US"/>
        </w:rPr>
        <w:t xml:space="preserve"> and </w:t>
      </w:r>
      <w:r w:rsidR="009928DB" w:rsidRPr="00AD7EC0">
        <w:rPr>
          <w:rFonts w:ascii="Verdana" w:hAnsi="Verdana"/>
          <w:lang w:val="en-US"/>
        </w:rPr>
        <w:t>variation</w:t>
      </w:r>
      <w:r w:rsidR="009928DB">
        <w:rPr>
          <w:rFonts w:ascii="Verdana" w:hAnsi="Verdana"/>
          <w:lang w:val="en-US"/>
        </w:rPr>
        <w:t xml:space="preserve"> of </w:t>
      </w:r>
      <w:r w:rsidR="009928DB" w:rsidRPr="00393A25">
        <w:rPr>
          <w:rFonts w:ascii="Verdana" w:hAnsi="Verdana"/>
          <w:lang w:val="en-US"/>
        </w:rPr>
        <w:t xml:space="preserve">transitional measure on </w:t>
      </w:r>
      <w:r w:rsidR="006104FE">
        <w:rPr>
          <w:rFonts w:ascii="Verdana" w:hAnsi="Verdana"/>
          <w:lang w:val="en-US"/>
        </w:rPr>
        <w:t>t</w:t>
      </w:r>
      <w:r w:rsidR="009928DB" w:rsidRPr="00393A25">
        <w:rPr>
          <w:rFonts w:ascii="Verdana" w:hAnsi="Verdana"/>
          <w:lang w:val="en-US"/>
        </w:rPr>
        <w:t xml:space="preserve">echnical </w:t>
      </w:r>
      <w:r w:rsidR="006104FE">
        <w:rPr>
          <w:rFonts w:ascii="Verdana" w:hAnsi="Verdana"/>
          <w:lang w:val="en-US"/>
        </w:rPr>
        <w:t>p</w:t>
      </w:r>
      <w:r w:rsidR="009928DB" w:rsidRPr="00393A25">
        <w:rPr>
          <w:rFonts w:ascii="Verdana" w:hAnsi="Verdana"/>
          <w:lang w:val="en-US"/>
        </w:rPr>
        <w:t>rovisions</w:t>
      </w:r>
      <w:r w:rsidRPr="00AD7EC0">
        <w:rPr>
          <w:rFonts w:ascii="Verdana" w:hAnsi="Verdana"/>
          <w:lang w:val="en-US"/>
        </w:rPr>
        <w:t xml:space="preserve">; </w:t>
      </w:r>
    </w:p>
    <w:p w:rsidR="004B1E4A" w:rsidRDefault="004B1E4A" w:rsidP="00AD7EC0">
      <w:pPr>
        <w:pStyle w:val="ListParagraph"/>
        <w:numPr>
          <w:ilvl w:val="0"/>
          <w:numId w:val="12"/>
        </w:numPr>
        <w:spacing w:after="0"/>
        <w:ind w:left="1134"/>
        <w:jc w:val="both"/>
        <w:rPr>
          <w:rFonts w:ascii="Verdana" w:hAnsi="Verdana"/>
          <w:lang w:val="en-US"/>
        </w:rPr>
      </w:pPr>
      <w:r w:rsidRPr="00AD7EC0">
        <w:rPr>
          <w:rFonts w:ascii="Verdana" w:hAnsi="Verdana"/>
          <w:lang w:val="en-US"/>
        </w:rPr>
        <w:t>plus total amount of net technical flows, i.e.: inflows minus outflows (C0100/R0340 for Life and C0110/R0340 for Non-Life).</w:t>
      </w:r>
    </w:p>
    <w:p w:rsidR="00D616B5" w:rsidRPr="00117899" w:rsidRDefault="00D616B5" w:rsidP="00D616B5">
      <w:pPr>
        <w:pStyle w:val="Heading1"/>
        <w:rPr>
          <w:rFonts w:ascii="Verdana" w:hAnsi="Verdana"/>
          <w:b w:val="0"/>
          <w:sz w:val="22"/>
          <w:lang w:val="en-US"/>
        </w:rPr>
      </w:pPr>
      <w:r w:rsidRPr="007853BA">
        <w:rPr>
          <w:rFonts w:ascii="Verdana" w:hAnsi="Verdana"/>
          <w:sz w:val="22"/>
          <w:lang w:val="en-US"/>
        </w:rPr>
        <w:t>Q</w:t>
      </w:r>
      <w:r w:rsidR="006B1C48">
        <w:rPr>
          <w:rFonts w:ascii="Verdana" w:hAnsi="Verdana"/>
          <w:sz w:val="22"/>
          <w:lang w:val="en-US"/>
        </w:rPr>
        <w:t>uestions</w:t>
      </w:r>
      <w:r w:rsidRPr="007853BA">
        <w:rPr>
          <w:rFonts w:ascii="Verdana" w:hAnsi="Verdana"/>
          <w:sz w:val="22"/>
          <w:lang w:val="en-US"/>
        </w:rPr>
        <w:t xml:space="preserve"> on S.29.03 - Excess of Assets over Liabilities - explained by technical provisions</w:t>
      </w:r>
      <w:r w:rsidR="00CB4E26">
        <w:rPr>
          <w:rStyle w:val="FootnoteReference"/>
          <w:rFonts w:ascii="Verdana" w:hAnsi="Verdana"/>
          <w:sz w:val="22"/>
          <w:lang w:val="en-US"/>
        </w:rPr>
        <w:footnoteReference w:id="5"/>
      </w:r>
    </w:p>
    <w:p w:rsidR="00D616B5" w:rsidRDefault="00D616B5" w:rsidP="00EB578F">
      <w:pPr>
        <w:jc w:val="both"/>
        <w:rPr>
          <w:lang w:val="en-US"/>
        </w:rPr>
      </w:pPr>
    </w:p>
    <w:p w:rsidR="008B1276" w:rsidRDefault="008B1276" w:rsidP="00EB578F">
      <w:pPr>
        <w:jc w:val="both"/>
        <w:rPr>
          <w:lang w:val="en-US"/>
        </w:rPr>
      </w:pPr>
    </w:p>
    <w:p w:rsidR="008B1276" w:rsidRDefault="008B1276" w:rsidP="00EB578F">
      <w:pPr>
        <w:jc w:val="both"/>
        <w:rPr>
          <w:lang w:val="en-US"/>
        </w:rPr>
      </w:pPr>
    </w:p>
    <w:p w:rsidR="007853BA" w:rsidRDefault="007853BA" w:rsidP="0070438D">
      <w:pPr>
        <w:pBdr>
          <w:top w:val="single" w:sz="4" w:space="1" w:color="auto"/>
          <w:left w:val="single" w:sz="4" w:space="4" w:color="auto"/>
          <w:bottom w:val="single" w:sz="4" w:space="1" w:color="auto"/>
          <w:right w:val="single" w:sz="4" w:space="4" w:color="auto"/>
        </w:pBdr>
        <w:jc w:val="both"/>
        <w:rPr>
          <w:rFonts w:ascii="Verdana" w:hAnsi="Verdana"/>
          <w:b/>
          <w:lang w:val="en-US"/>
        </w:rPr>
      </w:pPr>
      <w:r>
        <w:rPr>
          <w:rFonts w:ascii="Verdana" w:hAnsi="Verdana"/>
          <w:b/>
          <w:lang w:val="en-US"/>
        </w:rPr>
        <w:t>Question:</w:t>
      </w:r>
    </w:p>
    <w:p w:rsidR="007853BA" w:rsidRPr="00AD7EC0" w:rsidRDefault="007853BA" w:rsidP="007853BA">
      <w:pPr>
        <w:pBdr>
          <w:top w:val="single" w:sz="4" w:space="1" w:color="auto"/>
          <w:left w:val="single" w:sz="4" w:space="4" w:color="auto"/>
          <w:bottom w:val="single" w:sz="4" w:space="1" w:color="auto"/>
          <w:right w:val="single" w:sz="4" w:space="4" w:color="auto"/>
        </w:pBdr>
        <w:jc w:val="both"/>
        <w:rPr>
          <w:rFonts w:ascii="Verdana" w:hAnsi="Verdana"/>
          <w:lang w:val="en-US"/>
        </w:rPr>
      </w:pPr>
      <w:r w:rsidRPr="00AD7EC0">
        <w:rPr>
          <w:rFonts w:ascii="Verdana" w:hAnsi="Verdana"/>
          <w:lang w:val="en-US"/>
        </w:rPr>
        <w:t xml:space="preserve">The purpose of </w:t>
      </w:r>
      <w:r w:rsidR="000E668B">
        <w:rPr>
          <w:rFonts w:ascii="Verdana" w:hAnsi="Verdana"/>
          <w:lang w:val="en-US"/>
        </w:rPr>
        <w:t>S</w:t>
      </w:r>
      <w:r w:rsidRPr="00AD7EC0">
        <w:rPr>
          <w:rFonts w:ascii="Verdana" w:hAnsi="Verdana"/>
          <w:lang w:val="en-US"/>
        </w:rPr>
        <w:t>.29.03, from line R0150 to R0270 is to detail the changes from the opening Best Estimate to the closing one.</w:t>
      </w:r>
    </w:p>
    <w:p w:rsidR="007853BA" w:rsidRPr="00AD7EC0" w:rsidRDefault="007853BA" w:rsidP="007853BA">
      <w:pPr>
        <w:pBdr>
          <w:top w:val="single" w:sz="4" w:space="1" w:color="auto"/>
          <w:left w:val="single" w:sz="4" w:space="4" w:color="auto"/>
          <w:bottom w:val="single" w:sz="4" w:space="1" w:color="auto"/>
          <w:right w:val="single" w:sz="4" w:space="4" w:color="auto"/>
        </w:pBdr>
        <w:jc w:val="both"/>
        <w:rPr>
          <w:rFonts w:ascii="Verdana" w:hAnsi="Verdana"/>
          <w:lang w:val="en-US"/>
        </w:rPr>
      </w:pPr>
      <w:r w:rsidRPr="00AD7EC0">
        <w:rPr>
          <w:rFonts w:ascii="Verdana" w:hAnsi="Verdana"/>
          <w:lang w:val="en-US"/>
        </w:rPr>
        <w:t>Therefore, we should get: opening BE (R0010) + Sum of changes (R0020+…+ R0110) = closing BE (R0120)</w:t>
      </w:r>
    </w:p>
    <w:p w:rsidR="007853BA" w:rsidRPr="00AD7EC0" w:rsidRDefault="007853BA" w:rsidP="007853BA">
      <w:pPr>
        <w:pBdr>
          <w:top w:val="single" w:sz="4" w:space="1" w:color="auto"/>
          <w:left w:val="single" w:sz="4" w:space="4" w:color="auto"/>
          <w:bottom w:val="single" w:sz="4" w:space="1" w:color="auto"/>
          <w:right w:val="single" w:sz="4" w:space="4" w:color="auto"/>
        </w:pBdr>
        <w:jc w:val="both"/>
        <w:rPr>
          <w:rFonts w:ascii="Verdana" w:hAnsi="Verdana"/>
          <w:lang w:val="en-US"/>
        </w:rPr>
      </w:pPr>
      <w:r w:rsidRPr="00AD7EC0">
        <w:rPr>
          <w:rFonts w:ascii="Verdana" w:hAnsi="Verdana"/>
          <w:lang w:val="en-US"/>
        </w:rPr>
        <w:t>However, line R0230 is not about a change in Best Estimate because it includes the reali</w:t>
      </w:r>
      <w:r w:rsidR="00620338">
        <w:rPr>
          <w:rFonts w:ascii="Verdana" w:hAnsi="Verdana"/>
          <w:lang w:val="en-US"/>
        </w:rPr>
        <w:t>s</w:t>
      </w:r>
      <w:r w:rsidRPr="00AD7EC0">
        <w:rPr>
          <w:rFonts w:ascii="Verdana" w:hAnsi="Verdana"/>
          <w:lang w:val="en-US"/>
        </w:rPr>
        <w:t>ation of the cash flow. Therefore, it does not seem possible to get the equality here above.</w:t>
      </w:r>
    </w:p>
    <w:p w:rsidR="007853BA" w:rsidRPr="00AD7EC0" w:rsidRDefault="007853BA" w:rsidP="007853BA">
      <w:pPr>
        <w:pBdr>
          <w:top w:val="single" w:sz="4" w:space="1" w:color="auto"/>
          <w:left w:val="single" w:sz="4" w:space="4" w:color="auto"/>
          <w:bottom w:val="single" w:sz="4" w:space="1" w:color="auto"/>
          <w:right w:val="single" w:sz="4" w:space="4" w:color="auto"/>
        </w:pBdr>
        <w:jc w:val="both"/>
        <w:rPr>
          <w:rFonts w:ascii="Verdana" w:hAnsi="Verdana"/>
          <w:lang w:val="en-US"/>
        </w:rPr>
      </w:pPr>
      <w:r w:rsidRPr="00AD7EC0">
        <w:rPr>
          <w:rFonts w:ascii="Verdana" w:hAnsi="Verdana"/>
          <w:lang w:val="en-US"/>
        </w:rPr>
        <w:t>Can you give an example where R0230 could be used?</w:t>
      </w:r>
    </w:p>
    <w:p w:rsidR="007853BA" w:rsidRPr="00AD7EC0" w:rsidRDefault="007853BA" w:rsidP="00710442">
      <w:pPr>
        <w:pBdr>
          <w:top w:val="single" w:sz="4" w:space="1" w:color="auto"/>
          <w:left w:val="single" w:sz="4" w:space="4" w:color="auto"/>
          <w:bottom w:val="single" w:sz="4" w:space="1" w:color="auto"/>
          <w:right w:val="single" w:sz="4" w:space="4" w:color="auto"/>
        </w:pBdr>
        <w:spacing w:after="0"/>
        <w:jc w:val="both"/>
        <w:rPr>
          <w:rFonts w:ascii="Verdana" w:hAnsi="Verdana"/>
          <w:lang w:val="en-US"/>
        </w:rPr>
      </w:pPr>
      <w:r w:rsidRPr="00AD7EC0">
        <w:rPr>
          <w:rFonts w:ascii="Verdana" w:hAnsi="Verdana"/>
          <w:lang w:val="en-US"/>
        </w:rPr>
        <w:t>Example:</w:t>
      </w:r>
    </w:p>
    <w:p w:rsidR="007853BA" w:rsidRPr="00AD7EC0" w:rsidRDefault="007853BA" w:rsidP="00710442">
      <w:pPr>
        <w:pBdr>
          <w:top w:val="single" w:sz="4" w:space="1" w:color="auto"/>
          <w:left w:val="single" w:sz="4" w:space="4" w:color="auto"/>
          <w:bottom w:val="single" w:sz="4" w:space="1" w:color="auto"/>
          <w:right w:val="single" w:sz="4" w:space="4" w:color="auto"/>
        </w:pBdr>
        <w:spacing w:after="0"/>
        <w:jc w:val="both"/>
        <w:rPr>
          <w:rFonts w:ascii="Verdana" w:hAnsi="Verdana"/>
          <w:lang w:val="en-US"/>
        </w:rPr>
      </w:pPr>
      <w:r w:rsidRPr="00AD7EC0">
        <w:rPr>
          <w:rFonts w:ascii="Verdana" w:hAnsi="Verdana"/>
          <w:lang w:val="en-US"/>
        </w:rPr>
        <w:t>-</w:t>
      </w:r>
      <w:r w:rsidRPr="00AD7EC0">
        <w:rPr>
          <w:rFonts w:ascii="Verdana" w:hAnsi="Verdana"/>
          <w:lang w:val="en-US"/>
        </w:rPr>
        <w:tab/>
        <w:t>Run off from the opening</w:t>
      </w:r>
    </w:p>
    <w:p w:rsidR="007853BA" w:rsidRPr="00AD7EC0" w:rsidRDefault="007853BA" w:rsidP="00710442">
      <w:pPr>
        <w:pBdr>
          <w:top w:val="single" w:sz="4" w:space="1" w:color="auto"/>
          <w:left w:val="single" w:sz="4" w:space="4" w:color="auto"/>
          <w:bottom w:val="single" w:sz="4" w:space="1" w:color="auto"/>
          <w:right w:val="single" w:sz="4" w:space="4" w:color="auto"/>
        </w:pBdr>
        <w:spacing w:after="0"/>
        <w:jc w:val="both"/>
        <w:rPr>
          <w:rFonts w:ascii="Verdana" w:hAnsi="Verdana"/>
          <w:lang w:val="en-US"/>
        </w:rPr>
      </w:pPr>
      <w:r w:rsidRPr="00AD7EC0">
        <w:rPr>
          <w:rFonts w:ascii="Verdana" w:hAnsi="Verdana"/>
          <w:lang w:val="en-US"/>
        </w:rPr>
        <w:t>-</w:t>
      </w:r>
      <w:r w:rsidRPr="00AD7EC0">
        <w:rPr>
          <w:rFonts w:ascii="Verdana" w:hAnsi="Verdana"/>
          <w:lang w:val="en-US"/>
        </w:rPr>
        <w:tab/>
        <w:t>Opening BE = 100 (with no cash flow projected in year N)</w:t>
      </w:r>
    </w:p>
    <w:p w:rsidR="007853BA" w:rsidRPr="00AD7EC0" w:rsidRDefault="007853BA" w:rsidP="00710442">
      <w:pPr>
        <w:pBdr>
          <w:top w:val="single" w:sz="4" w:space="1" w:color="auto"/>
          <w:left w:val="single" w:sz="4" w:space="4" w:color="auto"/>
          <w:bottom w:val="single" w:sz="4" w:space="1" w:color="auto"/>
          <w:right w:val="single" w:sz="4" w:space="4" w:color="auto"/>
        </w:pBdr>
        <w:spacing w:after="0"/>
        <w:jc w:val="both"/>
        <w:rPr>
          <w:rFonts w:ascii="Verdana" w:hAnsi="Verdana"/>
          <w:lang w:val="en-US"/>
        </w:rPr>
      </w:pPr>
      <w:r w:rsidRPr="00AD7EC0">
        <w:rPr>
          <w:rFonts w:ascii="Verdana" w:hAnsi="Verdana"/>
          <w:lang w:val="en-US"/>
        </w:rPr>
        <w:t>-</w:t>
      </w:r>
      <w:r w:rsidRPr="00AD7EC0">
        <w:rPr>
          <w:rFonts w:ascii="Verdana" w:hAnsi="Verdana"/>
          <w:lang w:val="en-US"/>
        </w:rPr>
        <w:tab/>
        <w:t>Closing BE = 100</w:t>
      </w:r>
    </w:p>
    <w:p w:rsidR="007853BA" w:rsidRPr="00AD7EC0" w:rsidRDefault="007853BA" w:rsidP="007853BA">
      <w:pPr>
        <w:pBdr>
          <w:top w:val="single" w:sz="4" w:space="1" w:color="auto"/>
          <w:left w:val="single" w:sz="4" w:space="4" w:color="auto"/>
          <w:bottom w:val="single" w:sz="4" w:space="1" w:color="auto"/>
          <w:right w:val="single" w:sz="4" w:space="4" w:color="auto"/>
        </w:pBdr>
        <w:jc w:val="both"/>
        <w:rPr>
          <w:rFonts w:ascii="Verdana" w:hAnsi="Verdana"/>
          <w:lang w:val="en-US"/>
        </w:rPr>
      </w:pPr>
      <w:r w:rsidRPr="00AD7EC0">
        <w:rPr>
          <w:rFonts w:ascii="Verdana" w:hAnsi="Verdana"/>
          <w:lang w:val="en-US"/>
        </w:rPr>
        <w:t>However, during N, the company has to pay 20 (instead of it was not projected). This experience has no impact on the closing BE in our example.</w:t>
      </w:r>
    </w:p>
    <w:p w:rsidR="007853BA" w:rsidRPr="00AD7EC0" w:rsidRDefault="007853BA" w:rsidP="007853BA">
      <w:pPr>
        <w:pBdr>
          <w:top w:val="single" w:sz="4" w:space="1" w:color="auto"/>
          <w:left w:val="single" w:sz="4" w:space="4" w:color="auto"/>
          <w:bottom w:val="single" w:sz="4" w:space="1" w:color="auto"/>
          <w:right w:val="single" w:sz="4" w:space="4" w:color="auto"/>
        </w:pBdr>
        <w:jc w:val="both"/>
        <w:rPr>
          <w:rFonts w:ascii="Verdana" w:hAnsi="Verdana"/>
          <w:lang w:val="en-US"/>
        </w:rPr>
      </w:pPr>
      <w:r w:rsidRPr="00AD7EC0">
        <w:rPr>
          <w:rFonts w:ascii="Verdana" w:hAnsi="Verdana"/>
          <w:lang w:val="en-US"/>
        </w:rPr>
        <w:t>The variation in Excess of Assets over Liabilities explained by Technical provisions is -20.</w:t>
      </w:r>
    </w:p>
    <w:p w:rsidR="007853BA" w:rsidRDefault="007853BA" w:rsidP="007853BA">
      <w:pPr>
        <w:pBdr>
          <w:top w:val="single" w:sz="4" w:space="1" w:color="auto"/>
          <w:left w:val="single" w:sz="4" w:space="4" w:color="auto"/>
          <w:bottom w:val="single" w:sz="4" w:space="1" w:color="auto"/>
          <w:right w:val="single" w:sz="4" w:space="4" w:color="auto"/>
        </w:pBdr>
        <w:jc w:val="both"/>
        <w:rPr>
          <w:rFonts w:ascii="Verdana" w:hAnsi="Verdana"/>
          <w:lang w:val="en-US"/>
        </w:rPr>
      </w:pPr>
      <w:r w:rsidRPr="00AD7EC0">
        <w:rPr>
          <w:rFonts w:ascii="Verdana" w:hAnsi="Verdana"/>
          <w:lang w:val="en-US"/>
        </w:rPr>
        <w:t>Should the 20 be reported in R0230 as a change in provision OR in R0230 as a R0320 as a claim during the period? (OR in R0240)</w:t>
      </w:r>
    </w:p>
    <w:p w:rsidR="000E668B" w:rsidRDefault="007140FC" w:rsidP="007853BA">
      <w:pPr>
        <w:pBdr>
          <w:top w:val="single" w:sz="4" w:space="1" w:color="auto"/>
          <w:left w:val="single" w:sz="4" w:space="4" w:color="auto"/>
          <w:bottom w:val="single" w:sz="4" w:space="1" w:color="auto"/>
          <w:right w:val="single" w:sz="4" w:space="4" w:color="auto"/>
        </w:pBdr>
        <w:jc w:val="both"/>
        <w:rPr>
          <w:rFonts w:ascii="Verdana" w:hAnsi="Verdana"/>
          <w:b/>
          <w:lang w:val="en-GB"/>
        </w:rPr>
      </w:pPr>
      <w:r w:rsidRPr="00AD7EC0">
        <w:rPr>
          <w:rFonts w:ascii="Verdana" w:hAnsi="Verdana"/>
          <w:b/>
          <w:lang w:val="en-GB"/>
        </w:rPr>
        <w:t>Answer:</w:t>
      </w:r>
    </w:p>
    <w:p w:rsidR="00620338" w:rsidRPr="00696557" w:rsidRDefault="00620338" w:rsidP="000E668B">
      <w:pPr>
        <w:pBdr>
          <w:top w:val="single" w:sz="4" w:space="1" w:color="auto"/>
          <w:left w:val="single" w:sz="4" w:space="4" w:color="auto"/>
          <w:bottom w:val="single" w:sz="4" w:space="1" w:color="auto"/>
          <w:right w:val="single" w:sz="4" w:space="4" w:color="auto"/>
        </w:pBdr>
        <w:jc w:val="both"/>
        <w:rPr>
          <w:rFonts w:ascii="Verdana" w:hAnsi="Verdana"/>
          <w:lang w:val="en-US"/>
        </w:rPr>
      </w:pPr>
      <w:r w:rsidRPr="00696557">
        <w:rPr>
          <w:rFonts w:ascii="Verdana" w:hAnsi="Verdana"/>
          <w:lang w:val="en-US"/>
        </w:rPr>
        <w:t xml:space="preserve">In the example R0230 and R0240 should not reflect the amount paid during the year that was not reflected in the opening best estimate and that is not reflected in the closing best estimate as well. </w:t>
      </w:r>
    </w:p>
    <w:p w:rsidR="00620338" w:rsidRPr="00696557" w:rsidRDefault="00620338" w:rsidP="000E668B">
      <w:pPr>
        <w:pBdr>
          <w:top w:val="single" w:sz="4" w:space="1" w:color="auto"/>
          <w:left w:val="single" w:sz="4" w:space="4" w:color="auto"/>
          <w:bottom w:val="single" w:sz="4" w:space="1" w:color="auto"/>
          <w:right w:val="single" w:sz="4" w:space="4" w:color="auto"/>
        </w:pBdr>
        <w:jc w:val="both"/>
        <w:rPr>
          <w:rFonts w:ascii="Verdana" w:hAnsi="Verdana"/>
          <w:lang w:val="en-US"/>
        </w:rPr>
      </w:pPr>
      <w:r w:rsidRPr="00696557">
        <w:rPr>
          <w:rFonts w:ascii="Verdana" w:hAnsi="Verdana"/>
          <w:lang w:val="en-US"/>
        </w:rPr>
        <w:t xml:space="preserve">See </w:t>
      </w:r>
      <w:r w:rsidR="009B7091">
        <w:rPr>
          <w:rFonts w:ascii="Verdana" w:hAnsi="Verdana"/>
          <w:lang w:val="en-US"/>
        </w:rPr>
        <w:t xml:space="preserve">explanations provided in the document on both rows and </w:t>
      </w:r>
      <w:r w:rsidRPr="00696557">
        <w:rPr>
          <w:rFonts w:ascii="Verdana" w:hAnsi="Verdana"/>
          <w:lang w:val="en-US"/>
        </w:rPr>
        <w:t>example 1 of the Annex 1.</w:t>
      </w:r>
    </w:p>
    <w:p w:rsidR="0070438D" w:rsidRPr="007853BA" w:rsidRDefault="0070438D" w:rsidP="0070438D">
      <w:pPr>
        <w:pBdr>
          <w:top w:val="single" w:sz="4" w:space="1" w:color="auto"/>
          <w:left w:val="single" w:sz="4" w:space="4" w:color="auto"/>
          <w:bottom w:val="single" w:sz="4" w:space="1" w:color="auto"/>
          <w:right w:val="single" w:sz="4" w:space="4" w:color="auto"/>
        </w:pBdr>
        <w:jc w:val="both"/>
        <w:rPr>
          <w:rFonts w:ascii="Verdana" w:hAnsi="Verdana"/>
          <w:lang w:val="en-US"/>
        </w:rPr>
      </w:pPr>
      <w:r w:rsidRPr="007853BA">
        <w:rPr>
          <w:rFonts w:ascii="Verdana" w:hAnsi="Verdana"/>
          <w:b/>
          <w:lang w:val="en-US"/>
        </w:rPr>
        <w:t>Question:</w:t>
      </w:r>
    </w:p>
    <w:p w:rsidR="0070438D" w:rsidRPr="007853BA" w:rsidRDefault="0070438D" w:rsidP="0070438D">
      <w:pPr>
        <w:pBdr>
          <w:top w:val="single" w:sz="4" w:space="1" w:color="auto"/>
          <w:left w:val="single" w:sz="4" w:space="4" w:color="auto"/>
          <w:bottom w:val="single" w:sz="4" w:space="1" w:color="auto"/>
          <w:right w:val="single" w:sz="4" w:space="4" w:color="auto"/>
        </w:pBdr>
        <w:rPr>
          <w:b/>
          <w:i/>
          <w:lang w:val="en-US"/>
        </w:rPr>
      </w:pPr>
      <w:r w:rsidRPr="00AD7EC0">
        <w:rPr>
          <w:rFonts w:ascii="Verdana" w:hAnsi="Verdana"/>
          <w:lang w:val="en-US"/>
        </w:rPr>
        <w:t xml:space="preserve">Technical flows affecting Technical provisions LIFE </w:t>
      </w:r>
      <w:r w:rsidRPr="00AD7EC0">
        <w:rPr>
          <w:rFonts w:ascii="Verdana" w:hAnsi="Verdana"/>
          <w:lang w:val="en-US"/>
        </w:rPr>
        <w:br/>
        <w:t xml:space="preserve">Premiums written during the period R0310 </w:t>
      </w:r>
      <w:r w:rsidRPr="00AD7EC0">
        <w:rPr>
          <w:rFonts w:ascii="Verdana" w:hAnsi="Verdana"/>
          <w:lang w:val="en-US"/>
        </w:rPr>
        <w:br/>
        <w:t xml:space="preserve">Claims and Benefits during the period, net of salvages and subrogations R0320 </w:t>
      </w:r>
      <w:r w:rsidRPr="00AD7EC0">
        <w:rPr>
          <w:rFonts w:ascii="Verdana" w:hAnsi="Verdana"/>
          <w:lang w:val="en-US"/>
        </w:rPr>
        <w:br/>
        <w:t xml:space="preserve">Expenses (excluding Investment expenses) R0330 </w:t>
      </w:r>
      <w:r w:rsidRPr="00AD7EC0">
        <w:rPr>
          <w:rFonts w:ascii="Verdana" w:hAnsi="Verdana"/>
          <w:lang w:val="en-US"/>
        </w:rPr>
        <w:br/>
      </w:r>
      <w:r w:rsidRPr="00AD7EC0">
        <w:rPr>
          <w:rFonts w:ascii="Verdana" w:hAnsi="Verdana"/>
          <w:lang w:val="en-US"/>
        </w:rPr>
        <w:br/>
        <w:t xml:space="preserve">The impact of the change of BEL and Risk Margin on the Excess of Assets over Liabilities (EAL) is intuitively clear. But we are in doubt what else EIOPA considers as a technical provision related circumstance with effect on the EAL. </w:t>
      </w:r>
      <w:r w:rsidRPr="00AD7EC0">
        <w:rPr>
          <w:rFonts w:ascii="Verdana" w:hAnsi="Verdana"/>
          <w:lang w:val="en-US"/>
        </w:rPr>
        <w:br/>
      </w:r>
      <w:r w:rsidRPr="00AD7EC0">
        <w:rPr>
          <w:rFonts w:ascii="Verdana" w:hAnsi="Verdana"/>
          <w:lang w:val="en-US"/>
        </w:rPr>
        <w:br/>
        <w:t>Could you please provide a more detailed explanation what else – besides the variation of TP themselves – is supposed to be conquered in S.29.03.?</w:t>
      </w:r>
      <w:r w:rsidRPr="00AD7EC0">
        <w:rPr>
          <w:rFonts w:ascii="Verdana" w:hAnsi="Verdana"/>
          <w:lang w:val="en-US"/>
        </w:rPr>
        <w:br/>
        <w:t>Could you please give typical Life/Health examples of circumstances when R0310 / R0320 / R0330 in S.29.03 are supposed to differ from zero?</w:t>
      </w:r>
      <w:r w:rsidRPr="00AD7EC0">
        <w:rPr>
          <w:rFonts w:ascii="Verdana" w:hAnsi="Verdana"/>
          <w:lang w:val="en-US"/>
        </w:rPr>
        <w:br/>
      </w:r>
      <w:r w:rsidRPr="00AD7EC0">
        <w:rPr>
          <w:rFonts w:ascii="Verdana" w:hAnsi="Verdana"/>
          <w:lang w:val="en-US"/>
        </w:rPr>
        <w:br/>
        <w:t>In an older version of the QRTs (VA C2C), the Technical flows (besides adjustment for salvages and subrogations) were supposed to be taken from Cover A1 (now S.05.01). In the current version of the QRTs and LOGs, such a connection between S.29.03 Technical flows and S.05.01 is not mentioned any more. Could you please explain whether you still see a connection between S.05.01 and the Technical flows in S.29.03 and if so, what the connection looks like</w:t>
      </w:r>
      <w:r w:rsidRPr="00AD7EC0">
        <w:rPr>
          <w:rFonts w:ascii="Verdana" w:hAnsi="Verdana"/>
          <w:sz w:val="20"/>
          <w:lang w:val="en-US"/>
        </w:rPr>
        <w:t>.</w:t>
      </w:r>
    </w:p>
    <w:p w:rsidR="0070438D" w:rsidRPr="00AD7EC0" w:rsidRDefault="0070438D" w:rsidP="009E6DB8">
      <w:pPr>
        <w:pBdr>
          <w:top w:val="single" w:sz="4" w:space="1" w:color="auto"/>
          <w:left w:val="single" w:sz="4" w:space="4" w:color="auto"/>
          <w:bottom w:val="single" w:sz="4" w:space="1" w:color="auto"/>
          <w:right w:val="single" w:sz="4" w:space="4" w:color="auto"/>
        </w:pBdr>
        <w:jc w:val="both"/>
        <w:rPr>
          <w:rFonts w:ascii="Verdana" w:hAnsi="Verdana"/>
          <w:b/>
          <w:lang w:val="en-US"/>
        </w:rPr>
      </w:pPr>
      <w:r w:rsidRPr="00AD7EC0">
        <w:rPr>
          <w:rFonts w:ascii="Verdana" w:hAnsi="Verdana"/>
          <w:b/>
          <w:lang w:val="en-US"/>
        </w:rPr>
        <w:t>Answer:</w:t>
      </w:r>
    </w:p>
    <w:p w:rsidR="0070438D" w:rsidRPr="00AD7EC0" w:rsidRDefault="002E7DE5" w:rsidP="009E6DB8">
      <w:pPr>
        <w:pBdr>
          <w:top w:val="single" w:sz="4" w:space="1" w:color="auto"/>
          <w:left w:val="single" w:sz="4" w:space="4" w:color="auto"/>
          <w:bottom w:val="single" w:sz="4" w:space="1" w:color="auto"/>
          <w:right w:val="single" w:sz="4" w:space="4" w:color="auto"/>
        </w:pBdr>
        <w:jc w:val="both"/>
        <w:rPr>
          <w:rFonts w:ascii="Verdana" w:hAnsi="Verdana"/>
          <w:lang w:val="en-US"/>
        </w:rPr>
      </w:pPr>
      <w:r>
        <w:rPr>
          <w:rFonts w:ascii="Verdana" w:hAnsi="Verdana"/>
          <w:lang w:val="en-US"/>
        </w:rPr>
        <w:t>T</w:t>
      </w:r>
      <w:r w:rsidR="0070438D" w:rsidRPr="00AD7EC0">
        <w:rPr>
          <w:rFonts w:ascii="Verdana" w:hAnsi="Verdana"/>
          <w:lang w:val="en-US"/>
        </w:rPr>
        <w:t>here is a connection with amounts reported in template S.05.01. However, template S.05.01 is to be reported from an accounting perspective, i.e.: Local GAAP or IFRS if accepted as local GAAP</w:t>
      </w:r>
      <w:r w:rsidR="009E6DB8" w:rsidRPr="00AD7EC0">
        <w:rPr>
          <w:rFonts w:ascii="Verdana" w:hAnsi="Verdana"/>
          <w:lang w:val="en-US"/>
        </w:rPr>
        <w:t xml:space="preserve"> while templates S.29 should use Solvency II valuation.</w:t>
      </w:r>
      <w:r>
        <w:rPr>
          <w:rFonts w:ascii="Verdana" w:hAnsi="Verdana"/>
          <w:lang w:val="en-US"/>
        </w:rPr>
        <w:t xml:space="preserve"> The amounts to be reported in this table should be consistent with the ones reported in S.05.01. The assumption is that any technical cash-in and out flow will be reflected as well in the responsibility assumed in the best estimate</w:t>
      </w:r>
      <w:r w:rsidR="009E6DB8" w:rsidRPr="00AD7EC0">
        <w:rPr>
          <w:rFonts w:ascii="Verdana" w:hAnsi="Verdana"/>
          <w:lang w:val="en-US"/>
        </w:rPr>
        <w:t xml:space="preserve">. </w:t>
      </w:r>
    </w:p>
    <w:p w:rsidR="003E6DC4" w:rsidRPr="007853BA" w:rsidRDefault="003E6DC4" w:rsidP="003E6DC4">
      <w:pPr>
        <w:pBdr>
          <w:top w:val="single" w:sz="4" w:space="1" w:color="auto"/>
          <w:left w:val="single" w:sz="4" w:space="4" w:color="auto"/>
          <w:bottom w:val="single" w:sz="4" w:space="1" w:color="auto"/>
          <w:right w:val="single" w:sz="4" w:space="4" w:color="auto"/>
        </w:pBdr>
        <w:jc w:val="both"/>
        <w:rPr>
          <w:rFonts w:ascii="Verdana" w:hAnsi="Verdana"/>
          <w:lang w:val="en-US"/>
        </w:rPr>
      </w:pPr>
      <w:r w:rsidRPr="007853BA">
        <w:rPr>
          <w:rFonts w:ascii="Verdana" w:hAnsi="Verdana"/>
          <w:b/>
          <w:lang w:val="en-US"/>
        </w:rPr>
        <w:t>Question:</w:t>
      </w:r>
    </w:p>
    <w:p w:rsidR="00AA4F21" w:rsidRPr="00393BBA" w:rsidRDefault="00AA4F21" w:rsidP="006C15CE">
      <w:pPr>
        <w:pBdr>
          <w:top w:val="single" w:sz="4" w:space="1" w:color="auto"/>
          <w:left w:val="single" w:sz="4" w:space="4" w:color="auto"/>
          <w:bottom w:val="single" w:sz="4" w:space="1" w:color="auto"/>
          <w:right w:val="single" w:sz="4" w:space="4" w:color="auto"/>
        </w:pBdr>
        <w:rPr>
          <w:rFonts w:ascii="Verdana" w:hAnsi="Verdana"/>
          <w:lang w:val="en-GB"/>
        </w:rPr>
      </w:pPr>
      <w:r w:rsidRPr="00AD7EC0">
        <w:rPr>
          <w:rFonts w:ascii="Verdana" w:hAnsi="Verdana"/>
          <w:lang w:val="en-US"/>
        </w:rPr>
        <w:t xml:space="preserve">S.29.03 - Could I please get some clarification on the calculation of "Variation of Best Estimate due to unwinding of discount rate". What exaclty is the shifted interest rate structure and to </w:t>
      </w:r>
      <w:r w:rsidR="001F5A8E" w:rsidRPr="00AD7EC0">
        <w:rPr>
          <w:rFonts w:ascii="Verdana" w:hAnsi="Verdana"/>
          <w:lang w:val="en-US"/>
        </w:rPr>
        <w:t>which</w:t>
      </w:r>
      <w:r w:rsidRPr="00AD7EC0">
        <w:rPr>
          <w:rFonts w:ascii="Verdana" w:hAnsi="Verdana"/>
          <w:lang w:val="en-US"/>
        </w:rPr>
        <w:t xml:space="preserve"> amount is it appplied? </w:t>
      </w:r>
    </w:p>
    <w:p w:rsidR="003E6DC4" w:rsidRPr="00AD7EC0" w:rsidRDefault="003E6DC4" w:rsidP="003E6DC4">
      <w:pPr>
        <w:pBdr>
          <w:top w:val="single" w:sz="4" w:space="1" w:color="auto"/>
          <w:left w:val="single" w:sz="4" w:space="4" w:color="auto"/>
          <w:bottom w:val="single" w:sz="4" w:space="1" w:color="auto"/>
          <w:right w:val="single" w:sz="4" w:space="4" w:color="auto"/>
        </w:pBdr>
        <w:jc w:val="both"/>
        <w:rPr>
          <w:rFonts w:ascii="Verdana" w:hAnsi="Verdana"/>
          <w:b/>
          <w:lang w:val="en-US"/>
        </w:rPr>
      </w:pPr>
      <w:r w:rsidRPr="00AD7EC0">
        <w:rPr>
          <w:rFonts w:ascii="Verdana" w:hAnsi="Verdana"/>
          <w:b/>
          <w:lang w:val="en-US"/>
        </w:rPr>
        <w:t>Answer:</w:t>
      </w:r>
    </w:p>
    <w:p w:rsidR="00FE5E32" w:rsidRPr="007140FC" w:rsidRDefault="00FE5E32" w:rsidP="006C15CE">
      <w:pPr>
        <w:pBdr>
          <w:top w:val="single" w:sz="4" w:space="1" w:color="auto"/>
          <w:left w:val="single" w:sz="4" w:space="4" w:color="auto"/>
          <w:bottom w:val="single" w:sz="4" w:space="1" w:color="auto"/>
          <w:right w:val="single" w:sz="4" w:space="4" w:color="auto"/>
        </w:pBdr>
        <w:jc w:val="both"/>
        <w:rPr>
          <w:rFonts w:ascii="Verdana" w:hAnsi="Verdana"/>
          <w:lang w:val="en-US"/>
        </w:rPr>
      </w:pPr>
      <w:r w:rsidRPr="007853BA">
        <w:rPr>
          <w:rFonts w:ascii="Verdana" w:hAnsi="Verdana"/>
          <w:lang w:val="en-US"/>
        </w:rPr>
        <w:t>Unwinding of discount rates means to use the given interest rate curve as of year N-1. From this you can derive the “1-year forward interest rate term structure of N-1”.</w:t>
      </w:r>
    </w:p>
    <w:p w:rsidR="00FE5E32" w:rsidRPr="007140FC" w:rsidRDefault="00FE5E32" w:rsidP="006C15CE">
      <w:pPr>
        <w:pBdr>
          <w:top w:val="single" w:sz="4" w:space="1" w:color="auto"/>
          <w:left w:val="single" w:sz="4" w:space="4" w:color="auto"/>
          <w:bottom w:val="single" w:sz="4" w:space="1" w:color="auto"/>
          <w:right w:val="single" w:sz="4" w:space="4" w:color="auto"/>
        </w:pBdr>
        <w:jc w:val="both"/>
        <w:rPr>
          <w:rFonts w:ascii="Verdana" w:hAnsi="Verdana"/>
          <w:lang w:val="en-US"/>
        </w:rPr>
      </w:pPr>
      <w:r w:rsidRPr="007140FC">
        <w:rPr>
          <w:rFonts w:ascii="Verdana" w:hAnsi="Verdana"/>
          <w:lang w:val="en-US"/>
        </w:rPr>
        <w:t xml:space="preserve">Mathematically speaking, this means solving the equation </w:t>
      </w:r>
      <m:oMath>
        <m:d>
          <m:dPr>
            <m:ctrlPr>
              <w:rPr>
                <w:rFonts w:ascii="Cambria Math" w:hAnsi="Cambria Math"/>
                <w:lang w:val="en-US"/>
              </w:rPr>
            </m:ctrlPr>
          </m:dPr>
          <m:e>
            <m:r>
              <m:rPr>
                <m:sty m:val="p"/>
              </m:rPr>
              <w:rPr>
                <w:rFonts w:ascii="Cambria Math" w:hAnsi="Cambria Math"/>
                <w:lang w:val="en-US"/>
              </w:rPr>
              <m:t>1+</m:t>
            </m:r>
            <m:sSub>
              <m:sSubPr>
                <m:ctrlPr>
                  <w:rPr>
                    <w:rFonts w:ascii="Cambria Math" w:hAnsi="Cambria Math"/>
                    <w:lang w:val="en-US"/>
                  </w:rPr>
                </m:ctrlPr>
              </m:sSubPr>
              <m:e>
                <m:r>
                  <m:rPr>
                    <m:sty m:val="p"/>
                  </m:rPr>
                  <w:rPr>
                    <w:rFonts w:ascii="Cambria Math" w:hAnsi="Cambria Math"/>
                    <w:lang w:val="en-US"/>
                  </w:rPr>
                  <m:t>r</m:t>
                </m:r>
              </m:e>
              <m:sub>
                <m:r>
                  <m:rPr>
                    <m:sty m:val="p"/>
                  </m:rPr>
                  <w:rPr>
                    <w:rFonts w:ascii="Cambria Math" w:hAnsi="Cambria Math"/>
                    <w:lang w:val="en-US"/>
                  </w:rPr>
                  <m:t>1</m:t>
                </m:r>
              </m:sub>
            </m:sSub>
          </m:e>
        </m:d>
        <m:r>
          <m:rPr>
            <m:sty m:val="p"/>
          </m:rPr>
          <w:rPr>
            <w:rFonts w:ascii="Cambria Math" w:hAnsi="Cambria Math"/>
            <w:lang w:val="en-US"/>
          </w:rPr>
          <m:t>⋅</m:t>
        </m:r>
        <m:sSup>
          <m:sSupPr>
            <m:ctrlPr>
              <w:rPr>
                <w:rFonts w:ascii="Cambria Math" w:hAnsi="Cambria Math"/>
                <w:lang w:val="en-US"/>
              </w:rPr>
            </m:ctrlPr>
          </m:sSupPr>
          <m:e>
            <m:d>
              <m:dPr>
                <m:ctrlPr>
                  <w:rPr>
                    <w:rFonts w:ascii="Cambria Math" w:hAnsi="Cambria Math"/>
                    <w:lang w:val="en-US"/>
                  </w:rPr>
                </m:ctrlPr>
              </m:dPr>
              <m:e>
                <m:r>
                  <m:rPr>
                    <m:sty m:val="p"/>
                  </m:rPr>
                  <w:rPr>
                    <w:rFonts w:ascii="Cambria Math" w:hAnsi="Cambria Math"/>
                    <w:lang w:val="en-US"/>
                  </w:rPr>
                  <m:t>1+</m:t>
                </m:r>
                <m:sSub>
                  <m:sSubPr>
                    <m:ctrlPr>
                      <w:rPr>
                        <w:rFonts w:ascii="Cambria Math" w:hAnsi="Cambria Math"/>
                        <w:lang w:val="en-US"/>
                      </w:rPr>
                    </m:ctrlPr>
                  </m:sSubPr>
                  <m:e>
                    <m:r>
                      <m:rPr>
                        <m:sty m:val="p"/>
                      </m:rPr>
                      <w:rPr>
                        <w:rFonts w:ascii="Cambria Math" w:hAnsi="Cambria Math"/>
                        <w:lang w:val="en-US"/>
                      </w:rPr>
                      <m:t>f</m:t>
                    </m:r>
                  </m:e>
                  <m:sub>
                    <m:r>
                      <m:rPr>
                        <m:sty m:val="p"/>
                      </m:rPr>
                      <w:rPr>
                        <w:rFonts w:ascii="Cambria Math" w:hAnsi="Cambria Math"/>
                        <w:lang w:val="en-US"/>
                      </w:rPr>
                      <m:t>1,M</m:t>
                    </m:r>
                  </m:sub>
                </m:sSub>
              </m:e>
            </m:d>
          </m:e>
          <m:sup>
            <m:r>
              <m:rPr>
                <m:sty m:val="p"/>
              </m:rPr>
              <w:rPr>
                <w:rFonts w:ascii="Cambria Math" w:hAnsi="Cambria Math"/>
                <w:lang w:val="en-US"/>
              </w:rPr>
              <m:t>M-1</m:t>
            </m:r>
          </m:sup>
        </m:sSup>
        <m:r>
          <m:rPr>
            <m:sty m:val="p"/>
          </m:rPr>
          <w:rPr>
            <w:rFonts w:ascii="Cambria Math" w:hAnsi="Cambria Math"/>
            <w:lang w:val="en-US"/>
          </w:rPr>
          <m:t>=</m:t>
        </m:r>
        <m:sSup>
          <m:sSupPr>
            <m:ctrlPr>
              <w:rPr>
                <w:rFonts w:ascii="Cambria Math" w:hAnsi="Cambria Math"/>
                <w:lang w:val="en-US"/>
              </w:rPr>
            </m:ctrlPr>
          </m:sSupPr>
          <m:e>
            <m:d>
              <m:dPr>
                <m:ctrlPr>
                  <w:rPr>
                    <w:rFonts w:ascii="Cambria Math" w:hAnsi="Cambria Math"/>
                    <w:lang w:val="en-US"/>
                  </w:rPr>
                </m:ctrlPr>
              </m:dPr>
              <m:e>
                <m:r>
                  <m:rPr>
                    <m:sty m:val="p"/>
                  </m:rPr>
                  <w:rPr>
                    <w:rFonts w:ascii="Cambria Math" w:hAnsi="Cambria Math"/>
                    <w:lang w:val="en-US"/>
                  </w:rPr>
                  <m:t>1+</m:t>
                </m:r>
                <m:sSub>
                  <m:sSubPr>
                    <m:ctrlPr>
                      <w:rPr>
                        <w:rFonts w:ascii="Cambria Math" w:hAnsi="Cambria Math"/>
                        <w:lang w:val="en-US"/>
                      </w:rPr>
                    </m:ctrlPr>
                  </m:sSubPr>
                  <m:e>
                    <m:r>
                      <m:rPr>
                        <m:sty m:val="p"/>
                      </m:rPr>
                      <w:rPr>
                        <w:rFonts w:ascii="Cambria Math" w:hAnsi="Cambria Math"/>
                        <w:lang w:val="en-US"/>
                      </w:rPr>
                      <m:t>r</m:t>
                    </m:r>
                  </m:e>
                  <m:sub>
                    <m:r>
                      <m:rPr>
                        <m:sty m:val="p"/>
                      </m:rPr>
                      <w:rPr>
                        <w:rFonts w:ascii="Cambria Math" w:hAnsi="Cambria Math"/>
                        <w:lang w:val="en-US"/>
                      </w:rPr>
                      <m:t>M</m:t>
                    </m:r>
                  </m:sub>
                </m:sSub>
              </m:e>
            </m:d>
          </m:e>
          <m:sup>
            <m:r>
              <m:rPr>
                <m:sty m:val="p"/>
              </m:rPr>
              <w:rPr>
                <w:rFonts w:ascii="Cambria Math" w:hAnsi="Cambria Math"/>
                <w:lang w:val="en-US"/>
              </w:rPr>
              <m:t>M</m:t>
            </m:r>
          </m:sup>
        </m:sSup>
      </m:oMath>
      <w:r w:rsidRPr="007853BA">
        <w:rPr>
          <w:rFonts w:ascii="Verdana" w:hAnsi="Verdana"/>
          <w:lang w:val="en-US"/>
        </w:rPr>
        <w:t xml:space="preserve">, where </w:t>
      </w:r>
      <m:oMath>
        <m:sSub>
          <m:sSubPr>
            <m:ctrlPr>
              <w:rPr>
                <w:rFonts w:ascii="Cambria Math" w:hAnsi="Cambria Math"/>
                <w:lang w:val="en-US"/>
              </w:rPr>
            </m:ctrlPr>
          </m:sSubPr>
          <m:e>
            <m:r>
              <m:rPr>
                <m:sty m:val="p"/>
              </m:rPr>
              <w:rPr>
                <w:rFonts w:ascii="Cambria Math" w:hAnsi="Cambria Math"/>
                <w:lang w:val="en-US"/>
              </w:rPr>
              <m:t>r</m:t>
            </m:r>
          </m:e>
          <m:sub>
            <m:r>
              <m:rPr>
                <m:sty m:val="p"/>
              </m:rPr>
              <w:rPr>
                <w:rFonts w:ascii="Cambria Math" w:hAnsi="Cambria Math"/>
                <w:lang w:val="en-US"/>
              </w:rPr>
              <m:t>1</m:t>
            </m:r>
          </m:sub>
        </m:sSub>
      </m:oMath>
      <w:r w:rsidRPr="007853BA">
        <w:rPr>
          <w:rFonts w:ascii="Verdana" w:hAnsi="Verdana"/>
          <w:lang w:val="en-US"/>
        </w:rPr>
        <w:t xml:space="preserve"> and </w:t>
      </w:r>
      <m:oMath>
        <m:sSub>
          <m:sSubPr>
            <m:ctrlPr>
              <w:rPr>
                <w:rFonts w:ascii="Cambria Math" w:hAnsi="Cambria Math"/>
                <w:lang w:val="en-US"/>
              </w:rPr>
            </m:ctrlPr>
          </m:sSubPr>
          <m:e>
            <m:r>
              <m:rPr>
                <m:sty m:val="p"/>
              </m:rPr>
              <w:rPr>
                <w:rFonts w:ascii="Cambria Math" w:hAnsi="Cambria Math"/>
                <w:lang w:val="en-US"/>
              </w:rPr>
              <m:t>r</m:t>
            </m:r>
          </m:e>
          <m:sub>
            <m:r>
              <m:rPr>
                <m:sty m:val="p"/>
              </m:rPr>
              <w:rPr>
                <w:rFonts w:ascii="Cambria Math" w:hAnsi="Cambria Math"/>
                <w:lang w:val="en-US"/>
              </w:rPr>
              <m:t>M</m:t>
            </m:r>
          </m:sub>
        </m:sSub>
      </m:oMath>
      <w:r w:rsidRPr="007853BA">
        <w:rPr>
          <w:rFonts w:ascii="Verdana" w:hAnsi="Verdana"/>
          <w:lang w:val="en-US"/>
        </w:rPr>
        <w:t xml:space="preserve"> are taken from the interest rate term structure of </w:t>
      </w:r>
      <m:oMath>
        <m:r>
          <m:rPr>
            <m:sty m:val="p"/>
          </m:rPr>
          <w:rPr>
            <w:rFonts w:ascii="Cambria Math" w:hAnsi="Cambria Math"/>
            <w:lang w:val="en-US"/>
          </w:rPr>
          <m:t>N-1</m:t>
        </m:r>
      </m:oMath>
      <w:r w:rsidRPr="007853BA">
        <w:rPr>
          <w:rFonts w:ascii="Verdana" w:hAnsi="Verdana"/>
          <w:lang w:val="en-US"/>
        </w:rPr>
        <w:t>.</w:t>
      </w:r>
    </w:p>
    <w:p w:rsidR="00FE5E32" w:rsidRPr="007140FC" w:rsidRDefault="00FE5E32" w:rsidP="006C15CE">
      <w:pPr>
        <w:pBdr>
          <w:top w:val="single" w:sz="4" w:space="1" w:color="auto"/>
          <w:left w:val="single" w:sz="4" w:space="4" w:color="auto"/>
          <w:bottom w:val="single" w:sz="4" w:space="1" w:color="auto"/>
          <w:right w:val="single" w:sz="4" w:space="4" w:color="auto"/>
        </w:pBdr>
        <w:jc w:val="both"/>
        <w:rPr>
          <w:rFonts w:ascii="Verdana" w:hAnsi="Verdana"/>
          <w:lang w:val="en-US"/>
        </w:rPr>
      </w:pPr>
      <w:r w:rsidRPr="007140FC">
        <w:rPr>
          <w:rFonts w:ascii="Verdana" w:hAnsi="Verdana"/>
          <w:lang w:val="en-US"/>
        </w:rPr>
        <w:t>R0100 then reflects the update of the interest rate curve to the new one as of year N.</w:t>
      </w:r>
    </w:p>
    <w:p w:rsidR="003E6DC4" w:rsidRPr="007853BA" w:rsidRDefault="00FE5E32">
      <w:pPr>
        <w:pBdr>
          <w:top w:val="single" w:sz="4" w:space="1" w:color="auto"/>
          <w:left w:val="single" w:sz="4" w:space="4" w:color="auto"/>
          <w:bottom w:val="single" w:sz="4" w:space="1" w:color="auto"/>
          <w:right w:val="single" w:sz="4" w:space="4" w:color="auto"/>
        </w:pBdr>
        <w:jc w:val="both"/>
        <w:rPr>
          <w:rFonts w:ascii="Verdana" w:hAnsi="Verdana"/>
          <w:lang w:val="en-US"/>
        </w:rPr>
      </w:pPr>
      <w:r w:rsidRPr="007853BA">
        <w:rPr>
          <w:rFonts w:ascii="Verdana" w:hAnsi="Verdana"/>
          <w:lang w:val="en-US"/>
        </w:rPr>
        <w:t xml:space="preserve">The unwinding of discount rate refers to computing the 1-year forward curve based on the interest rate </w:t>
      </w:r>
      <w:r w:rsidRPr="007140FC">
        <w:rPr>
          <w:rFonts w:ascii="Verdana" w:hAnsi="Verdana"/>
          <w:lang w:val="en-US"/>
        </w:rPr>
        <w:t>term structure of year N-1. The change in discount rates as referred to in R0100 means replacing this 1-year forward rate term structure with the new interest rate term structure as of year N. This allows to capture the effect of the difference in expected interest rates at year N (as derived from N-1) compared to actual interest rates at year N. </w:t>
      </w:r>
    </w:p>
    <w:p w:rsidR="008B1276" w:rsidRDefault="008B1276" w:rsidP="006C15CE">
      <w:pPr>
        <w:pBdr>
          <w:top w:val="single" w:sz="4" w:space="1" w:color="auto"/>
          <w:left w:val="single" w:sz="4" w:space="4" w:color="auto"/>
          <w:bottom w:val="single" w:sz="4" w:space="1" w:color="auto"/>
          <w:right w:val="single" w:sz="4" w:space="4" w:color="auto"/>
        </w:pBdr>
        <w:jc w:val="both"/>
        <w:rPr>
          <w:rFonts w:ascii="Verdana" w:hAnsi="Verdana"/>
          <w:b/>
          <w:lang w:val="en-US"/>
        </w:rPr>
      </w:pPr>
    </w:p>
    <w:p w:rsidR="003C2163" w:rsidRPr="007853BA" w:rsidRDefault="00AA4F21" w:rsidP="006C15CE">
      <w:pPr>
        <w:pBdr>
          <w:top w:val="single" w:sz="4" w:space="1" w:color="auto"/>
          <w:left w:val="single" w:sz="4" w:space="4" w:color="auto"/>
          <w:bottom w:val="single" w:sz="4" w:space="1" w:color="auto"/>
          <w:right w:val="single" w:sz="4" w:space="4" w:color="auto"/>
        </w:pBdr>
        <w:jc w:val="both"/>
        <w:rPr>
          <w:rFonts w:ascii="Verdana" w:hAnsi="Verdana"/>
          <w:b/>
          <w:lang w:val="en-US"/>
        </w:rPr>
      </w:pPr>
      <w:r w:rsidRPr="007853BA">
        <w:rPr>
          <w:rFonts w:ascii="Verdana" w:hAnsi="Verdana"/>
          <w:b/>
          <w:lang w:val="en-US"/>
        </w:rPr>
        <w:t>Q</w:t>
      </w:r>
      <w:r w:rsidR="00D616B5" w:rsidRPr="2F4470A3">
        <w:rPr>
          <w:rFonts w:ascii="Verdana" w:hAnsi="Verdana"/>
          <w:b/>
          <w:lang w:val="en-US"/>
        </w:rPr>
        <w:t>uestion</w:t>
      </w:r>
      <w:r w:rsidR="00D616B5" w:rsidRPr="007853BA">
        <w:rPr>
          <w:rFonts w:ascii="Verdana" w:hAnsi="Verdana"/>
          <w:b/>
          <w:lang w:val="en-US"/>
        </w:rPr>
        <w:t>:</w:t>
      </w:r>
    </w:p>
    <w:p w:rsidR="00AA4F21" w:rsidRPr="00AD7EC0" w:rsidRDefault="00AA4F21" w:rsidP="006C15CE">
      <w:pPr>
        <w:pBdr>
          <w:top w:val="single" w:sz="4" w:space="1" w:color="auto"/>
          <w:left w:val="single" w:sz="4" w:space="4" w:color="auto"/>
          <w:bottom w:val="single" w:sz="4" w:space="1" w:color="auto"/>
          <w:right w:val="single" w:sz="4" w:space="4" w:color="auto"/>
        </w:pBdr>
        <w:jc w:val="both"/>
        <w:rPr>
          <w:rFonts w:ascii="Verdana" w:hAnsi="Verdana"/>
          <w:lang w:val="en-US"/>
        </w:rPr>
      </w:pPr>
      <w:r w:rsidRPr="00AD7EC0">
        <w:rPr>
          <w:rFonts w:ascii="Verdana" w:hAnsi="Verdana"/>
          <w:lang w:val="en-US"/>
        </w:rPr>
        <w:t>Please can you give a worked example of how S.29.03 and S.29.04 are filled in for a non-life insurer as conceptually, I do not know what the template is seeking. For example, what is meant by variation in best estimate for risks accepted during the period? And variation of BE due to year N projected in and out flows for risks accepted in prior periods ?</w:t>
      </w:r>
    </w:p>
    <w:p w:rsidR="002E1F99" w:rsidRPr="00AD7EC0" w:rsidRDefault="00D616B5">
      <w:pPr>
        <w:pBdr>
          <w:top w:val="single" w:sz="4" w:space="1" w:color="auto"/>
          <w:left w:val="single" w:sz="4" w:space="4" w:color="auto"/>
          <w:bottom w:val="single" w:sz="4" w:space="1" w:color="auto"/>
          <w:right w:val="single" w:sz="4" w:space="4" w:color="auto"/>
        </w:pBdr>
        <w:jc w:val="both"/>
        <w:rPr>
          <w:rFonts w:ascii="Verdana" w:hAnsi="Verdana"/>
          <w:b/>
          <w:lang w:val="en-US"/>
        </w:rPr>
      </w:pPr>
      <w:r w:rsidRPr="002B6039">
        <w:rPr>
          <w:rFonts w:ascii="Verdana" w:hAnsi="Verdana"/>
          <w:b/>
          <w:lang w:val="en-US"/>
        </w:rPr>
        <w:t>Answer</w:t>
      </w:r>
      <w:r w:rsidR="002E1F99" w:rsidRPr="002B6039">
        <w:rPr>
          <w:rFonts w:ascii="Verdana" w:hAnsi="Verdana"/>
          <w:b/>
          <w:lang w:val="en-US"/>
        </w:rPr>
        <w:t>:</w:t>
      </w:r>
    </w:p>
    <w:p w:rsidR="00D616B5" w:rsidRPr="007853BA" w:rsidRDefault="00D616B5" w:rsidP="00D616B5">
      <w:pPr>
        <w:pBdr>
          <w:top w:val="single" w:sz="4" w:space="1" w:color="auto"/>
          <w:left w:val="single" w:sz="4" w:space="4" w:color="auto"/>
          <w:bottom w:val="single" w:sz="4" w:space="1" w:color="auto"/>
          <w:right w:val="single" w:sz="4" w:space="4" w:color="auto"/>
        </w:pBdr>
        <w:jc w:val="both"/>
        <w:rPr>
          <w:rFonts w:ascii="Verdana" w:hAnsi="Verdana"/>
          <w:lang w:val="en-GB"/>
        </w:rPr>
      </w:pPr>
      <w:r w:rsidRPr="007853BA">
        <w:rPr>
          <w:rFonts w:ascii="Verdana" w:hAnsi="Verdana"/>
          <w:lang w:val="en-GB"/>
        </w:rPr>
        <w:t xml:space="preserve">In S.29.03: the aim is to strip out the reasons for the variation of the BE, i.e. if there was an increase of “x”, how much is related to new business, to claims paid, to changes in interest rate, etc. </w:t>
      </w:r>
    </w:p>
    <w:p w:rsidR="00D616B5" w:rsidRDefault="00D616B5" w:rsidP="00D616B5">
      <w:pPr>
        <w:pBdr>
          <w:top w:val="single" w:sz="4" w:space="1" w:color="auto"/>
          <w:left w:val="single" w:sz="4" w:space="4" w:color="auto"/>
          <w:bottom w:val="single" w:sz="4" w:space="1" w:color="auto"/>
          <w:right w:val="single" w:sz="4" w:space="4" w:color="auto"/>
        </w:pBdr>
        <w:jc w:val="both"/>
        <w:rPr>
          <w:rFonts w:ascii="Verdana" w:hAnsi="Verdana"/>
          <w:lang w:val="en-GB"/>
        </w:rPr>
      </w:pPr>
      <w:r w:rsidRPr="007853BA">
        <w:rPr>
          <w:rFonts w:ascii="Verdana" w:hAnsi="Verdana"/>
          <w:lang w:val="en-GB"/>
        </w:rPr>
        <w:t xml:space="preserve">R0050: represents the amount of the BE at the end of </w:t>
      </w:r>
      <w:r w:rsidRPr="007140FC">
        <w:rPr>
          <w:rFonts w:ascii="Verdana" w:hAnsi="Verdana"/>
          <w:lang w:val="en-GB"/>
        </w:rPr>
        <w:t>the period that corresponds to contracts/risks that were accepted during the period (i.e. were not reflected in the opening BE)</w:t>
      </w:r>
    </w:p>
    <w:p w:rsidR="00D616B5" w:rsidRPr="007853BA" w:rsidRDefault="00D616B5" w:rsidP="00D616B5">
      <w:pPr>
        <w:pBdr>
          <w:top w:val="single" w:sz="4" w:space="1" w:color="auto"/>
          <w:left w:val="single" w:sz="4" w:space="4" w:color="auto"/>
          <w:bottom w:val="single" w:sz="4" w:space="1" w:color="auto"/>
          <w:right w:val="single" w:sz="4" w:space="4" w:color="auto"/>
        </w:pBdr>
        <w:jc w:val="both"/>
        <w:rPr>
          <w:rFonts w:ascii="Verdana" w:hAnsi="Verdana"/>
          <w:lang w:val="en-GB"/>
        </w:rPr>
      </w:pPr>
      <w:r w:rsidRPr="007853BA">
        <w:rPr>
          <w:rFonts w:ascii="Verdana" w:hAnsi="Verdana"/>
          <w:lang w:val="en-GB"/>
        </w:rPr>
        <w:t xml:space="preserve">R0070: This row can be computed at year-end N-1 without knowledge of the reality as experienced during period N. </w:t>
      </w:r>
      <w:r w:rsidR="00FB60D5" w:rsidRPr="00117899">
        <w:rPr>
          <w:rFonts w:ascii="Verdana" w:hAnsi="Verdana"/>
          <w:lang w:val="en-GB"/>
        </w:rPr>
        <w:t>Refers only to the neutralisation of the cash-flows projected for that year.</w:t>
      </w:r>
      <w:r w:rsidR="00FB60D5" w:rsidRPr="007853BA">
        <w:rPr>
          <w:rFonts w:ascii="Verdana" w:hAnsi="Verdana"/>
          <w:lang w:val="en-GB"/>
        </w:rPr>
        <w:t xml:space="preserve"> </w:t>
      </w:r>
    </w:p>
    <w:p w:rsidR="00D449D7" w:rsidRPr="00DE44D5" w:rsidRDefault="00D449D7" w:rsidP="003E6DC4">
      <w:pPr>
        <w:pBdr>
          <w:top w:val="single" w:sz="4" w:space="1" w:color="auto"/>
          <w:left w:val="single" w:sz="4" w:space="4" w:color="auto"/>
          <w:bottom w:val="single" w:sz="4" w:space="1" w:color="auto"/>
          <w:right w:val="single" w:sz="4" w:space="4" w:color="auto"/>
        </w:pBdr>
        <w:jc w:val="both"/>
        <w:rPr>
          <w:rFonts w:ascii="Verdana" w:hAnsi="Verdana"/>
          <w:b/>
          <w:lang w:val="en-US"/>
        </w:rPr>
      </w:pPr>
      <w:r w:rsidRPr="00DE44D5">
        <w:rPr>
          <w:rFonts w:ascii="Verdana" w:hAnsi="Verdana"/>
          <w:b/>
          <w:lang w:val="en-US"/>
        </w:rPr>
        <w:t>Q&amp;A</w:t>
      </w:r>
      <w:r w:rsidR="00B56F8D" w:rsidRPr="00DE44D5">
        <w:rPr>
          <w:rFonts w:ascii="Verdana" w:hAnsi="Verdana"/>
          <w:b/>
          <w:lang w:val="en-US"/>
        </w:rPr>
        <w:t xml:space="preserve"> </w:t>
      </w:r>
      <w:r w:rsidRPr="00DE44D5">
        <w:rPr>
          <w:rFonts w:ascii="Verdana" w:hAnsi="Verdana"/>
          <w:b/>
          <w:lang w:val="en-US"/>
        </w:rPr>
        <w:t>137</w:t>
      </w:r>
      <w:r w:rsidR="003C47D9" w:rsidRPr="00DE44D5">
        <w:rPr>
          <w:rFonts w:ascii="Verdana" w:hAnsi="Verdana"/>
          <w:b/>
          <w:lang w:val="en-US"/>
        </w:rPr>
        <w:t>9</w:t>
      </w:r>
      <w:r w:rsidRPr="00DE44D5">
        <w:rPr>
          <w:rFonts w:ascii="Verdana" w:hAnsi="Verdana"/>
          <w:b/>
          <w:lang w:val="en-US"/>
        </w:rPr>
        <w:t>:</w:t>
      </w:r>
    </w:p>
    <w:p w:rsidR="003E2030" w:rsidRDefault="00D449D7" w:rsidP="003E6DC4">
      <w:pPr>
        <w:pBdr>
          <w:top w:val="single" w:sz="4" w:space="1" w:color="auto"/>
          <w:left w:val="single" w:sz="4" w:space="4" w:color="auto"/>
          <w:bottom w:val="single" w:sz="4" w:space="1" w:color="auto"/>
          <w:right w:val="single" w:sz="4" w:space="4" w:color="auto"/>
        </w:pBdr>
        <w:jc w:val="both"/>
        <w:rPr>
          <w:rFonts w:ascii="Verdana" w:hAnsi="Verdana"/>
          <w:lang w:val="en-GB"/>
        </w:rPr>
      </w:pPr>
      <w:r w:rsidRPr="00DE44D5">
        <w:rPr>
          <w:rFonts w:ascii="Verdana" w:hAnsi="Verdana"/>
          <w:lang w:val="en-GB"/>
        </w:rPr>
        <w:t>Lets assume an example where we have only one claim of 100. We expect to pay in the following year and we end up indemnifying the claim with 50 in the following year.</w:t>
      </w:r>
    </w:p>
    <w:p w:rsidR="003E2030" w:rsidRDefault="00D449D7" w:rsidP="003E6DC4">
      <w:pPr>
        <w:pBdr>
          <w:top w:val="single" w:sz="4" w:space="1" w:color="auto"/>
          <w:left w:val="single" w:sz="4" w:space="4" w:color="auto"/>
          <w:bottom w:val="single" w:sz="4" w:space="1" w:color="auto"/>
          <w:right w:val="single" w:sz="4" w:space="4" w:color="auto"/>
        </w:pBdr>
        <w:jc w:val="both"/>
        <w:rPr>
          <w:rFonts w:ascii="Verdana" w:hAnsi="Verdana"/>
          <w:lang w:val="en-GB"/>
        </w:rPr>
      </w:pPr>
      <w:r w:rsidRPr="00DE44D5">
        <w:rPr>
          <w:rFonts w:ascii="Verdana" w:hAnsi="Verdana"/>
          <w:lang w:val="en-GB"/>
        </w:rPr>
        <w:t xml:space="preserve">Then our opening best estimate would be 100, our closing 0 (case indemnified, no more provision). </w:t>
      </w:r>
    </w:p>
    <w:p w:rsidR="003E2030" w:rsidRDefault="00D449D7" w:rsidP="003E6DC4">
      <w:pPr>
        <w:pBdr>
          <w:top w:val="single" w:sz="4" w:space="1" w:color="auto"/>
          <w:left w:val="single" w:sz="4" w:space="4" w:color="auto"/>
          <w:bottom w:val="single" w:sz="4" w:space="1" w:color="auto"/>
          <w:right w:val="single" w:sz="4" w:space="4" w:color="auto"/>
        </w:pBdr>
        <w:jc w:val="both"/>
        <w:rPr>
          <w:rFonts w:ascii="Verdana" w:hAnsi="Verdana"/>
          <w:lang w:val="en-GB"/>
        </w:rPr>
      </w:pPr>
      <w:r w:rsidRPr="00DE44D5">
        <w:rPr>
          <w:rFonts w:ascii="Verdana" w:hAnsi="Verdana"/>
          <w:lang w:val="en-GB"/>
        </w:rPr>
        <w:t xml:space="preserve">I guess Cell R0070 would be -100 (text suggest inflow - outflow, hence negative sign), is our understanding correct? </w:t>
      </w:r>
    </w:p>
    <w:p w:rsidR="003E2030" w:rsidRDefault="00D449D7" w:rsidP="003E6DC4">
      <w:pPr>
        <w:pBdr>
          <w:top w:val="single" w:sz="4" w:space="1" w:color="auto"/>
          <w:left w:val="single" w:sz="4" w:space="4" w:color="auto"/>
          <w:bottom w:val="single" w:sz="4" w:space="1" w:color="auto"/>
          <w:right w:val="single" w:sz="4" w:space="4" w:color="auto"/>
        </w:pBdr>
        <w:jc w:val="both"/>
        <w:rPr>
          <w:rFonts w:ascii="Verdana" w:hAnsi="Verdana"/>
          <w:lang w:val="en-GB"/>
        </w:rPr>
      </w:pPr>
      <w:r w:rsidRPr="00DE44D5">
        <w:rPr>
          <w:rFonts w:ascii="Verdana" w:hAnsi="Verdana"/>
          <w:lang w:val="en-GB"/>
        </w:rPr>
        <w:t xml:space="preserve">Then what would be cell R0080? Description seems to suggest that it relates to strict realisation of cash flow, does this mean 50? But then the balance wouldnt add up... </w:t>
      </w:r>
    </w:p>
    <w:p w:rsidR="00D449D7" w:rsidRDefault="00D449D7" w:rsidP="003E6DC4">
      <w:pPr>
        <w:pBdr>
          <w:top w:val="single" w:sz="4" w:space="1" w:color="auto"/>
          <w:left w:val="single" w:sz="4" w:space="4" w:color="auto"/>
          <w:bottom w:val="single" w:sz="4" w:space="1" w:color="auto"/>
          <w:right w:val="single" w:sz="4" w:space="4" w:color="auto"/>
        </w:pBdr>
        <w:jc w:val="both"/>
        <w:rPr>
          <w:rFonts w:ascii="Verdana" w:hAnsi="Verdana"/>
          <w:lang w:val="en-GB"/>
        </w:rPr>
      </w:pPr>
      <w:r w:rsidRPr="00DE44D5">
        <w:rPr>
          <w:rFonts w:ascii="Verdana" w:hAnsi="Verdana"/>
          <w:lang w:val="en-GB"/>
        </w:rPr>
        <w:t>Can you please provide further clarification and if possible a more detailed example than the one above?</w:t>
      </w:r>
    </w:p>
    <w:p w:rsidR="003E2030" w:rsidRPr="00DE44D5" w:rsidRDefault="003E2030" w:rsidP="003E6DC4">
      <w:pPr>
        <w:pBdr>
          <w:top w:val="single" w:sz="4" w:space="1" w:color="auto"/>
          <w:left w:val="single" w:sz="4" w:space="4" w:color="auto"/>
          <w:bottom w:val="single" w:sz="4" w:space="1" w:color="auto"/>
          <w:right w:val="single" w:sz="4" w:space="4" w:color="auto"/>
        </w:pBdr>
        <w:jc w:val="both"/>
        <w:rPr>
          <w:rFonts w:ascii="Verdana" w:hAnsi="Verdana"/>
          <w:lang w:val="en-GB"/>
        </w:rPr>
      </w:pPr>
    </w:p>
    <w:p w:rsidR="003C47D9" w:rsidRPr="00DE44D5" w:rsidRDefault="00D449D7" w:rsidP="00117899">
      <w:pPr>
        <w:pBdr>
          <w:top w:val="single" w:sz="4" w:space="1" w:color="auto"/>
          <w:left w:val="single" w:sz="4" w:space="4" w:color="auto"/>
          <w:bottom w:val="single" w:sz="4" w:space="1" w:color="auto"/>
          <w:right w:val="single" w:sz="4" w:space="4" w:color="auto"/>
        </w:pBdr>
        <w:jc w:val="both"/>
        <w:rPr>
          <w:rFonts w:ascii="Verdana" w:hAnsi="Verdana"/>
          <w:b/>
          <w:lang w:val="en-US"/>
        </w:rPr>
      </w:pPr>
      <w:r w:rsidRPr="00DE44D5">
        <w:rPr>
          <w:rFonts w:ascii="Verdana" w:hAnsi="Verdana"/>
          <w:b/>
          <w:lang w:val="en-US"/>
        </w:rPr>
        <w:t>Answer:</w:t>
      </w:r>
    </w:p>
    <w:p w:rsidR="003C47D9" w:rsidRPr="00DE44D5" w:rsidRDefault="003C47D9" w:rsidP="00117899">
      <w:pPr>
        <w:pBdr>
          <w:top w:val="single" w:sz="4" w:space="1" w:color="auto"/>
          <w:left w:val="single" w:sz="4" w:space="4" w:color="auto"/>
          <w:bottom w:val="single" w:sz="4" w:space="1" w:color="auto"/>
          <w:right w:val="single" w:sz="4" w:space="4" w:color="auto"/>
        </w:pBdr>
        <w:jc w:val="both"/>
        <w:rPr>
          <w:rFonts w:ascii="Verdana" w:hAnsi="Verdana"/>
          <w:lang w:val="en-GB"/>
        </w:rPr>
      </w:pPr>
      <w:r w:rsidRPr="00DE44D5">
        <w:rPr>
          <w:rFonts w:ascii="Verdana" w:hAnsi="Verdana"/>
          <w:lang w:val="en-GB"/>
        </w:rPr>
        <w:t xml:space="preserve">In the example a claim provision of 100 expected to be paid in year n, paid 50 during year n. This row should show -100. The payment of 50 would be reported only in technical flows. This assumes the claim was closed. The impact would be positive in the excess of assets over liabilities as the payment was lower than expected. </w:t>
      </w:r>
    </w:p>
    <w:p w:rsidR="003E6DC4" w:rsidRPr="007140FC" w:rsidRDefault="003E6DC4" w:rsidP="003E6DC4">
      <w:pPr>
        <w:pBdr>
          <w:top w:val="single" w:sz="4" w:space="1" w:color="auto"/>
          <w:left w:val="single" w:sz="4" w:space="4" w:color="auto"/>
          <w:bottom w:val="single" w:sz="4" w:space="1" w:color="auto"/>
          <w:right w:val="single" w:sz="4" w:space="4" w:color="auto"/>
        </w:pBdr>
        <w:jc w:val="both"/>
        <w:rPr>
          <w:rFonts w:ascii="Verdana" w:hAnsi="Verdana"/>
          <w:b/>
          <w:lang w:val="en-US"/>
        </w:rPr>
      </w:pPr>
      <w:r w:rsidRPr="007140FC">
        <w:rPr>
          <w:rFonts w:ascii="Verdana" w:hAnsi="Verdana"/>
          <w:b/>
          <w:lang w:val="en-US"/>
        </w:rPr>
        <w:t>Question:</w:t>
      </w:r>
    </w:p>
    <w:p w:rsidR="00AA4F21" w:rsidRPr="007853BA" w:rsidRDefault="00AA4F21" w:rsidP="00EB578F">
      <w:pPr>
        <w:pBdr>
          <w:top w:val="single" w:sz="4" w:space="1" w:color="auto"/>
          <w:left w:val="single" w:sz="4" w:space="4" w:color="auto"/>
          <w:bottom w:val="single" w:sz="4" w:space="1" w:color="auto"/>
          <w:right w:val="single" w:sz="4" w:space="4" w:color="auto"/>
        </w:pBdr>
        <w:rPr>
          <w:rFonts w:ascii="Verdana" w:hAnsi="Verdana"/>
          <w:lang w:val="en-US"/>
        </w:rPr>
      </w:pPr>
      <w:r w:rsidRPr="007853BA">
        <w:rPr>
          <w:rFonts w:ascii="Verdana" w:hAnsi="Verdana"/>
          <w:lang w:val="en-US"/>
        </w:rPr>
        <w:t>How is the risk margin included in this variation analysis? According to the LOG files the RM seems to be included.</w:t>
      </w:r>
    </w:p>
    <w:p w:rsidR="003E6DC4" w:rsidRPr="00AD7EC0" w:rsidRDefault="003E6DC4" w:rsidP="003E6DC4">
      <w:pPr>
        <w:pBdr>
          <w:top w:val="single" w:sz="4" w:space="1" w:color="auto"/>
          <w:left w:val="single" w:sz="4" w:space="4" w:color="auto"/>
          <w:bottom w:val="single" w:sz="4" w:space="1" w:color="auto"/>
          <w:right w:val="single" w:sz="4" w:space="4" w:color="auto"/>
        </w:pBdr>
        <w:jc w:val="both"/>
        <w:rPr>
          <w:rFonts w:ascii="Verdana" w:hAnsi="Verdana"/>
          <w:b/>
          <w:lang w:val="en-US"/>
        </w:rPr>
      </w:pPr>
      <w:r w:rsidRPr="00AD7EC0">
        <w:rPr>
          <w:rFonts w:ascii="Verdana" w:hAnsi="Verdana"/>
          <w:b/>
          <w:lang w:val="en-US"/>
        </w:rPr>
        <w:t>Answer:</w:t>
      </w:r>
    </w:p>
    <w:p w:rsidR="00AA4F21" w:rsidRDefault="00AA4F21" w:rsidP="00EB578F">
      <w:pPr>
        <w:pBdr>
          <w:top w:val="single" w:sz="4" w:space="1" w:color="auto"/>
          <w:left w:val="single" w:sz="4" w:space="4" w:color="auto"/>
          <w:bottom w:val="single" w:sz="4" w:space="1" w:color="auto"/>
          <w:right w:val="single" w:sz="4" w:space="4" w:color="auto"/>
        </w:pBdr>
        <w:jc w:val="both"/>
        <w:rPr>
          <w:rFonts w:ascii="Verdana" w:hAnsi="Verdana"/>
          <w:lang w:val="en-US"/>
        </w:rPr>
      </w:pPr>
      <w:r w:rsidRPr="007853BA">
        <w:rPr>
          <w:rFonts w:ascii="Verdana" w:hAnsi="Verdana"/>
          <w:lang w:val="en-US"/>
        </w:rPr>
        <w:t xml:space="preserve">In most of the template, the </w:t>
      </w:r>
      <w:r w:rsidR="00FB60D5">
        <w:rPr>
          <w:rFonts w:ascii="Verdana" w:hAnsi="Verdana"/>
          <w:lang w:val="en-US"/>
        </w:rPr>
        <w:t>Instructions</w:t>
      </w:r>
      <w:r w:rsidR="00FB60D5" w:rsidRPr="007853BA">
        <w:rPr>
          <w:rFonts w:ascii="Verdana" w:hAnsi="Verdana"/>
          <w:lang w:val="en-US"/>
        </w:rPr>
        <w:t xml:space="preserve"> </w:t>
      </w:r>
      <w:r w:rsidRPr="007853BA">
        <w:rPr>
          <w:rFonts w:ascii="Verdana" w:hAnsi="Verdana"/>
          <w:lang w:val="en-US"/>
        </w:rPr>
        <w:t xml:space="preserve">state that only the variations in BE should be detailed (which is, excluding RM). </w:t>
      </w:r>
      <w:r w:rsidR="00837876" w:rsidRPr="007140FC">
        <w:rPr>
          <w:rFonts w:ascii="Verdana" w:hAnsi="Verdana"/>
          <w:lang w:val="en-US"/>
        </w:rPr>
        <w:t>The risk margin should only be considered in R0360/</w:t>
      </w:r>
      <w:r w:rsidRPr="007140FC">
        <w:rPr>
          <w:rFonts w:ascii="Verdana" w:hAnsi="Verdana"/>
          <w:lang w:val="en-US"/>
        </w:rPr>
        <w:t>C0120</w:t>
      </w:r>
      <w:r w:rsidR="00D616B5" w:rsidRPr="00AD7EC0">
        <w:rPr>
          <w:rFonts w:ascii="Verdana" w:eastAsia="Verdana" w:hAnsi="Verdana" w:cs="Verdana"/>
          <w:lang w:val="en-US"/>
        </w:rPr>
        <w:t xml:space="preserve"> </w:t>
      </w:r>
      <w:r w:rsidR="00837876" w:rsidRPr="007140FC">
        <w:rPr>
          <w:rFonts w:ascii="Verdana" w:hAnsi="Verdana"/>
          <w:lang w:val="en-US"/>
        </w:rPr>
        <w:t xml:space="preserve">and </w:t>
      </w:r>
      <w:r w:rsidRPr="007140FC">
        <w:rPr>
          <w:rFonts w:ascii="Verdana" w:hAnsi="Verdana"/>
          <w:lang w:val="en-US"/>
        </w:rPr>
        <w:t>C0130.</w:t>
      </w:r>
    </w:p>
    <w:p w:rsidR="00AA2B9D" w:rsidRPr="005D495C" w:rsidRDefault="004E608F" w:rsidP="00EB578F">
      <w:pPr>
        <w:pBdr>
          <w:top w:val="single" w:sz="4" w:space="1" w:color="auto"/>
          <w:left w:val="single" w:sz="4" w:space="4" w:color="auto"/>
          <w:bottom w:val="single" w:sz="4" w:space="1" w:color="auto"/>
          <w:right w:val="single" w:sz="4" w:space="4" w:color="auto"/>
        </w:pBdr>
        <w:jc w:val="both"/>
        <w:rPr>
          <w:rFonts w:ascii="Verdana" w:hAnsi="Verdana"/>
          <w:b/>
          <w:lang w:val="en-US"/>
        </w:rPr>
      </w:pPr>
      <w:r>
        <w:rPr>
          <w:rFonts w:ascii="Verdana" w:hAnsi="Verdana"/>
          <w:b/>
          <w:lang w:val="en-US"/>
        </w:rPr>
        <w:t>Q&amp;A</w:t>
      </w:r>
      <w:r w:rsidR="00B56F8D">
        <w:rPr>
          <w:rFonts w:ascii="Verdana" w:hAnsi="Verdana"/>
          <w:b/>
          <w:lang w:val="en-US"/>
        </w:rPr>
        <w:t xml:space="preserve"> </w:t>
      </w:r>
      <w:r>
        <w:rPr>
          <w:rFonts w:ascii="Verdana" w:hAnsi="Verdana"/>
          <w:b/>
          <w:lang w:val="en-US"/>
        </w:rPr>
        <w:t>1143</w:t>
      </w:r>
      <w:r w:rsidR="00AA2B9D" w:rsidRPr="005D495C">
        <w:rPr>
          <w:rFonts w:ascii="Verdana" w:hAnsi="Verdana"/>
          <w:b/>
          <w:lang w:val="en-US"/>
        </w:rPr>
        <w:t>:</w:t>
      </w:r>
    </w:p>
    <w:p w:rsidR="00AA2B9D" w:rsidRPr="005D495C" w:rsidRDefault="00AA2B9D" w:rsidP="00AA2B9D">
      <w:pPr>
        <w:pBdr>
          <w:top w:val="single" w:sz="4" w:space="1" w:color="auto"/>
          <w:left w:val="single" w:sz="4" w:space="4" w:color="auto"/>
          <w:bottom w:val="single" w:sz="4" w:space="1" w:color="auto"/>
          <w:right w:val="single" w:sz="4" w:space="4" w:color="auto"/>
        </w:pBdr>
        <w:jc w:val="both"/>
        <w:rPr>
          <w:rFonts w:ascii="Verdana" w:hAnsi="Verdana"/>
          <w:lang w:val="en-US"/>
        </w:rPr>
      </w:pPr>
      <w:r w:rsidRPr="00D56959">
        <w:rPr>
          <w:rFonts w:ascii="Verdana" w:hAnsi="Verdana"/>
          <w:lang w:val="en-US"/>
        </w:rPr>
        <w:t xml:space="preserve">S.29.02 ‘Analysis of changes due to investments and financial liabilities’ QRT covers income, gains, and losses on investments other than assets held for </w:t>
      </w:r>
      <w:r w:rsidR="002A3D11" w:rsidRPr="00BA2A0B">
        <w:rPr>
          <w:rFonts w:ascii="Verdana" w:hAnsi="Verdana"/>
          <w:lang w:val="en-US"/>
        </w:rPr>
        <w:t xml:space="preserve">index-linked </w:t>
      </w:r>
      <w:r w:rsidR="002A3D11">
        <w:rPr>
          <w:rFonts w:ascii="Verdana" w:hAnsi="Verdana"/>
          <w:lang w:val="en-US"/>
        </w:rPr>
        <w:t>and unit-linked</w:t>
      </w:r>
      <w:r w:rsidRPr="00D56959">
        <w:rPr>
          <w:rFonts w:ascii="Verdana" w:hAnsi="Verdana"/>
          <w:lang w:val="en-US"/>
        </w:rPr>
        <w:t xml:space="preserve"> funds. The S.29.02 log file states “With regards to assets held for </w:t>
      </w:r>
      <w:r w:rsidR="002A3D11" w:rsidRPr="00BA2A0B">
        <w:rPr>
          <w:rFonts w:ascii="Verdana" w:hAnsi="Verdana"/>
          <w:lang w:val="en-US"/>
        </w:rPr>
        <w:t xml:space="preserve">index-linked </w:t>
      </w:r>
      <w:r w:rsidR="002A3D11">
        <w:rPr>
          <w:rFonts w:ascii="Verdana" w:hAnsi="Verdana"/>
          <w:lang w:val="en-US"/>
        </w:rPr>
        <w:t xml:space="preserve">and unit-linked </w:t>
      </w:r>
      <w:r w:rsidRPr="005D495C">
        <w:rPr>
          <w:rFonts w:ascii="Verdana" w:hAnsi="Verdana"/>
          <w:lang w:val="en-US"/>
        </w:rPr>
        <w:t xml:space="preserve">funds, the adjustment on basic own funds related to valuation is taken into account in template S.29.03.” However, according to the relevant log file, C0090/R0300 in S.29.03 ‘Analysis of changes due to technical provisions’ appears to be asking for a balance sheet movement between the opening and closing investments index-linked and unit-link funds. The movement in the investments balance (S.29.03) is not the same as the valuation movement (income, gains and losses) referred to in the S.29.02 log file and this causes a difference. We have included this difference in C0030/R0250 in S.29.01 ‘ Variation analysis – Analysis of variation of excess of assets over liabilities’ as we are unsure where else to record it. </w:t>
      </w:r>
    </w:p>
    <w:p w:rsidR="00AA2B9D" w:rsidRPr="005D495C" w:rsidRDefault="00AA2B9D" w:rsidP="00AA2B9D">
      <w:pPr>
        <w:pBdr>
          <w:top w:val="single" w:sz="4" w:space="1" w:color="auto"/>
          <w:left w:val="single" w:sz="4" w:space="4" w:color="auto"/>
          <w:bottom w:val="single" w:sz="4" w:space="1" w:color="auto"/>
          <w:right w:val="single" w:sz="4" w:space="4" w:color="auto"/>
        </w:pBdr>
        <w:jc w:val="both"/>
        <w:rPr>
          <w:rFonts w:ascii="Verdana" w:hAnsi="Verdana"/>
          <w:lang w:val="en-US"/>
        </w:rPr>
      </w:pPr>
      <w:r w:rsidRPr="005D495C">
        <w:rPr>
          <w:rFonts w:ascii="Verdana" w:hAnsi="Verdana"/>
          <w:lang w:val="en-US"/>
        </w:rPr>
        <w:t>Please can you advise if our interpretation of S.29.02 and S.29.03 templates is correct and if so, please can you confirm how we should report the difference in the valuation of investments in linked funds.</w:t>
      </w:r>
    </w:p>
    <w:p w:rsidR="00CC3417" w:rsidRDefault="00CC3417" w:rsidP="00AA2B9D">
      <w:pPr>
        <w:pBdr>
          <w:top w:val="single" w:sz="4" w:space="1" w:color="auto"/>
          <w:left w:val="single" w:sz="4" w:space="4" w:color="auto"/>
          <w:bottom w:val="single" w:sz="4" w:space="1" w:color="auto"/>
          <w:right w:val="single" w:sz="4" w:space="4" w:color="auto"/>
        </w:pBdr>
        <w:jc w:val="both"/>
        <w:rPr>
          <w:rFonts w:ascii="Verdana" w:hAnsi="Verdana"/>
          <w:lang w:val="en-US"/>
        </w:rPr>
      </w:pPr>
      <w:r w:rsidRPr="005D495C">
        <w:rPr>
          <w:rFonts w:ascii="Verdana" w:hAnsi="Verdana"/>
          <w:lang w:val="en-US"/>
        </w:rPr>
        <w:t>Our interpretation of R0250 'Other variations in Excess of Assets over Liabilities in S.29.01 is that it should contain residual variations not covered by other rows in S.29.01. The variation caused by the difference in the valuation of investments in linked funds (as per the detail in Question above) can be quite large and so we do not believe it should be included in R0250, however, there appears to be no other logical place to report it.</w:t>
      </w:r>
    </w:p>
    <w:p w:rsidR="008B1276" w:rsidRDefault="008B1276" w:rsidP="00AA2B9D">
      <w:pPr>
        <w:pBdr>
          <w:top w:val="single" w:sz="4" w:space="1" w:color="auto"/>
          <w:left w:val="single" w:sz="4" w:space="4" w:color="auto"/>
          <w:bottom w:val="single" w:sz="4" w:space="1" w:color="auto"/>
          <w:right w:val="single" w:sz="4" w:space="4" w:color="auto"/>
        </w:pBdr>
        <w:jc w:val="both"/>
        <w:rPr>
          <w:rFonts w:ascii="Verdana" w:hAnsi="Verdana"/>
          <w:b/>
          <w:lang w:val="en-US"/>
        </w:rPr>
      </w:pPr>
    </w:p>
    <w:p w:rsidR="008B1276" w:rsidRDefault="008B1276" w:rsidP="00AA2B9D">
      <w:pPr>
        <w:pBdr>
          <w:top w:val="single" w:sz="4" w:space="1" w:color="auto"/>
          <w:left w:val="single" w:sz="4" w:space="4" w:color="auto"/>
          <w:bottom w:val="single" w:sz="4" w:space="1" w:color="auto"/>
          <w:right w:val="single" w:sz="4" w:space="4" w:color="auto"/>
        </w:pBdr>
        <w:jc w:val="both"/>
        <w:rPr>
          <w:rFonts w:ascii="Verdana" w:hAnsi="Verdana"/>
          <w:b/>
          <w:lang w:val="en-US"/>
        </w:rPr>
      </w:pPr>
    </w:p>
    <w:p w:rsidR="00AA2B9D" w:rsidRPr="005D495C" w:rsidRDefault="00AA2B9D" w:rsidP="00AA2B9D">
      <w:pPr>
        <w:pBdr>
          <w:top w:val="single" w:sz="4" w:space="1" w:color="auto"/>
          <w:left w:val="single" w:sz="4" w:space="4" w:color="auto"/>
          <w:bottom w:val="single" w:sz="4" w:space="1" w:color="auto"/>
          <w:right w:val="single" w:sz="4" w:space="4" w:color="auto"/>
        </w:pBdr>
        <w:jc w:val="both"/>
        <w:rPr>
          <w:rFonts w:ascii="Verdana" w:hAnsi="Verdana"/>
          <w:b/>
          <w:lang w:val="en-US"/>
        </w:rPr>
      </w:pPr>
      <w:r w:rsidRPr="005D495C">
        <w:rPr>
          <w:rFonts w:ascii="Verdana" w:hAnsi="Verdana"/>
          <w:b/>
          <w:lang w:val="en-US"/>
        </w:rPr>
        <w:t>Answer:</w:t>
      </w:r>
    </w:p>
    <w:p w:rsidR="00AA2B9D" w:rsidRPr="005D495C" w:rsidRDefault="00CC3417" w:rsidP="00AA2B9D">
      <w:pPr>
        <w:pBdr>
          <w:top w:val="single" w:sz="4" w:space="1" w:color="auto"/>
          <w:left w:val="single" w:sz="4" w:space="4" w:color="auto"/>
          <w:bottom w:val="single" w:sz="4" w:space="1" w:color="auto"/>
          <w:right w:val="single" w:sz="4" w:space="4" w:color="auto"/>
        </w:pBdr>
        <w:jc w:val="both"/>
        <w:rPr>
          <w:rFonts w:ascii="Verdana" w:hAnsi="Verdana"/>
          <w:lang w:val="en-US"/>
        </w:rPr>
      </w:pPr>
      <w:r w:rsidRPr="005D495C">
        <w:rPr>
          <w:rFonts w:ascii="Verdana" w:hAnsi="Verdana"/>
          <w:lang w:val="en-US"/>
        </w:rPr>
        <w:t xml:space="preserve">The impact of the </w:t>
      </w:r>
      <w:r w:rsidR="002A3D11" w:rsidRPr="00BA2A0B">
        <w:rPr>
          <w:rFonts w:ascii="Verdana" w:hAnsi="Verdana"/>
          <w:lang w:val="en-US"/>
        </w:rPr>
        <w:t xml:space="preserve">index-linked </w:t>
      </w:r>
      <w:r w:rsidR="002A3D11">
        <w:rPr>
          <w:rFonts w:ascii="Verdana" w:hAnsi="Verdana"/>
          <w:lang w:val="en-US"/>
        </w:rPr>
        <w:t xml:space="preserve">and unit-linked </w:t>
      </w:r>
      <w:r w:rsidRPr="00D56959">
        <w:rPr>
          <w:rFonts w:ascii="Verdana" w:hAnsi="Verdana"/>
          <w:lang w:val="en-US"/>
        </w:rPr>
        <w:t xml:space="preserve">business </w:t>
      </w:r>
      <w:r w:rsidR="00DD1803">
        <w:rPr>
          <w:rFonts w:ascii="Verdana" w:hAnsi="Verdana"/>
          <w:lang w:val="en-US"/>
        </w:rPr>
        <w:t xml:space="preserve">was discussed and all comments and concerns received considered. This document </w:t>
      </w:r>
      <w:r w:rsidRPr="00D56959">
        <w:rPr>
          <w:rFonts w:ascii="Verdana" w:hAnsi="Verdana"/>
          <w:lang w:val="en-US"/>
        </w:rPr>
        <w:t>reflect</w:t>
      </w:r>
      <w:r w:rsidR="00DD1803">
        <w:rPr>
          <w:rFonts w:ascii="Verdana" w:hAnsi="Verdana"/>
          <w:lang w:val="en-US"/>
        </w:rPr>
        <w:t xml:space="preserve">s the following treatment for the amounts related to </w:t>
      </w:r>
      <w:r w:rsidR="002A3D11" w:rsidRPr="00BA2A0B">
        <w:rPr>
          <w:rFonts w:ascii="Verdana" w:hAnsi="Verdana"/>
          <w:lang w:val="en-US"/>
        </w:rPr>
        <w:t xml:space="preserve">index-linked </w:t>
      </w:r>
      <w:r w:rsidR="002A3D11">
        <w:rPr>
          <w:rFonts w:ascii="Verdana" w:hAnsi="Verdana"/>
          <w:lang w:val="en-US"/>
        </w:rPr>
        <w:t xml:space="preserve">and unit-linked </w:t>
      </w:r>
      <w:r w:rsidR="00DD1803">
        <w:rPr>
          <w:rFonts w:ascii="Verdana" w:hAnsi="Verdana"/>
          <w:lang w:val="en-US"/>
        </w:rPr>
        <w:t>business</w:t>
      </w:r>
      <w:r w:rsidRPr="00D56959">
        <w:rPr>
          <w:rFonts w:ascii="Verdana" w:hAnsi="Verdana"/>
          <w:lang w:val="en-US"/>
        </w:rPr>
        <w:t>:</w:t>
      </w:r>
    </w:p>
    <w:p w:rsidR="00DC1151" w:rsidRDefault="00CC3417" w:rsidP="00693249">
      <w:pPr>
        <w:pBdr>
          <w:top w:val="single" w:sz="4" w:space="1" w:color="auto"/>
          <w:left w:val="single" w:sz="4" w:space="4" w:color="auto"/>
          <w:bottom w:val="single" w:sz="4" w:space="1" w:color="auto"/>
          <w:right w:val="single" w:sz="4" w:space="4" w:color="auto"/>
        </w:pBdr>
        <w:ind w:left="284" w:hanging="284"/>
        <w:jc w:val="both"/>
        <w:rPr>
          <w:rFonts w:ascii="Verdana" w:hAnsi="Verdana"/>
          <w:lang w:val="en-US"/>
        </w:rPr>
      </w:pPr>
      <w:r w:rsidRPr="005D495C">
        <w:rPr>
          <w:rFonts w:ascii="Verdana" w:hAnsi="Verdana"/>
          <w:lang w:val="en-US"/>
        </w:rPr>
        <w:t xml:space="preserve">- </w:t>
      </w:r>
      <w:r w:rsidR="00693249" w:rsidRPr="005D495C">
        <w:rPr>
          <w:rFonts w:ascii="Verdana" w:hAnsi="Verdana"/>
          <w:lang w:val="en-US"/>
        </w:rPr>
        <w:tab/>
      </w:r>
      <w:r w:rsidR="00FC50F7" w:rsidRPr="00D56959">
        <w:rPr>
          <w:rFonts w:ascii="Verdana" w:hAnsi="Verdana"/>
          <w:lang w:val="en-US"/>
        </w:rPr>
        <w:t xml:space="preserve">In S.29.02 amounts related to </w:t>
      </w:r>
      <w:r w:rsidR="002A3D11" w:rsidRPr="00BA2A0B">
        <w:rPr>
          <w:rFonts w:ascii="Verdana" w:hAnsi="Verdana"/>
          <w:lang w:val="en-US"/>
        </w:rPr>
        <w:t xml:space="preserve">index-linked </w:t>
      </w:r>
      <w:r w:rsidR="002A3D11">
        <w:rPr>
          <w:rFonts w:ascii="Verdana" w:hAnsi="Verdana"/>
          <w:lang w:val="en-US"/>
        </w:rPr>
        <w:t xml:space="preserve">and unit-linked </w:t>
      </w:r>
      <w:r w:rsidR="00FC50F7" w:rsidRPr="00D56959">
        <w:rPr>
          <w:rFonts w:ascii="Verdana" w:hAnsi="Verdana"/>
          <w:lang w:val="en-US"/>
        </w:rPr>
        <w:t>business should be included</w:t>
      </w:r>
      <w:r w:rsidR="00FC50F7">
        <w:rPr>
          <w:rFonts w:ascii="Verdana" w:hAnsi="Verdana"/>
          <w:lang w:val="en-US"/>
        </w:rPr>
        <w:t xml:space="preserve"> as any other asset</w:t>
      </w:r>
      <w:r w:rsidR="00FC50F7" w:rsidRPr="00D56959">
        <w:rPr>
          <w:rFonts w:ascii="Verdana" w:hAnsi="Verdana"/>
          <w:lang w:val="en-US"/>
        </w:rPr>
        <w:t>;</w:t>
      </w:r>
    </w:p>
    <w:p w:rsidR="00E70D34" w:rsidRDefault="00DC1151" w:rsidP="00693249">
      <w:pPr>
        <w:pBdr>
          <w:top w:val="single" w:sz="4" w:space="1" w:color="auto"/>
          <w:left w:val="single" w:sz="4" w:space="4" w:color="auto"/>
          <w:bottom w:val="single" w:sz="4" w:space="1" w:color="auto"/>
          <w:right w:val="single" w:sz="4" w:space="4" w:color="auto"/>
        </w:pBdr>
        <w:ind w:left="284" w:hanging="284"/>
        <w:jc w:val="both"/>
        <w:rPr>
          <w:rFonts w:ascii="Verdana" w:hAnsi="Verdana"/>
          <w:lang w:val="en-US"/>
        </w:rPr>
      </w:pPr>
      <w:r>
        <w:rPr>
          <w:rFonts w:ascii="Verdana" w:hAnsi="Verdana"/>
          <w:lang w:val="en-US"/>
        </w:rPr>
        <w:t xml:space="preserve">- </w:t>
      </w:r>
      <w:r w:rsidR="00FC50F7" w:rsidRPr="00D56959">
        <w:rPr>
          <w:rFonts w:ascii="Verdana" w:hAnsi="Verdana"/>
          <w:lang w:val="en-US"/>
        </w:rPr>
        <w:t xml:space="preserve">In S.29.03 the amounts calculated </w:t>
      </w:r>
      <w:r w:rsidR="00FC50F7" w:rsidRPr="005D495C">
        <w:rPr>
          <w:rFonts w:ascii="Verdana" w:hAnsi="Verdana"/>
          <w:lang w:val="en-US"/>
        </w:rPr>
        <w:t>with</w:t>
      </w:r>
      <w:r w:rsidR="00FC50F7" w:rsidRPr="00D56959">
        <w:rPr>
          <w:rFonts w:ascii="Verdana" w:hAnsi="Verdana"/>
          <w:lang w:val="en-US"/>
        </w:rPr>
        <w:t xml:space="preserve"> Best Estimate will be captured </w:t>
      </w:r>
      <w:r w:rsidR="00FC50F7" w:rsidRPr="005D495C">
        <w:rPr>
          <w:rFonts w:ascii="Verdana" w:hAnsi="Verdana"/>
          <w:lang w:val="en-US"/>
        </w:rPr>
        <w:t>in</w:t>
      </w:r>
      <w:r w:rsidR="00FC50F7" w:rsidRPr="00D56959">
        <w:rPr>
          <w:rFonts w:ascii="Verdana" w:hAnsi="Verdana"/>
          <w:lang w:val="en-US"/>
        </w:rPr>
        <w:t xml:space="preserve"> the main table</w:t>
      </w:r>
      <w:r w:rsidR="00FC50F7">
        <w:rPr>
          <w:rFonts w:ascii="Verdana" w:hAnsi="Verdana"/>
          <w:lang w:val="en-US"/>
        </w:rPr>
        <w:t xml:space="preserve">, including the amounts related to </w:t>
      </w:r>
      <w:r w:rsidR="002A3D11" w:rsidRPr="00BA2A0B">
        <w:rPr>
          <w:rFonts w:ascii="Verdana" w:hAnsi="Verdana"/>
          <w:lang w:val="en-US"/>
        </w:rPr>
        <w:t xml:space="preserve">index-linked </w:t>
      </w:r>
      <w:r w:rsidR="002A3D11">
        <w:rPr>
          <w:rFonts w:ascii="Verdana" w:hAnsi="Verdana"/>
          <w:lang w:val="en-US"/>
        </w:rPr>
        <w:t xml:space="preserve">and unit-linked </w:t>
      </w:r>
      <w:r w:rsidR="00FC50F7" w:rsidRPr="00D56959">
        <w:rPr>
          <w:rFonts w:ascii="Verdana" w:hAnsi="Verdana"/>
          <w:lang w:val="en-US"/>
        </w:rPr>
        <w:t>business</w:t>
      </w:r>
      <w:r w:rsidR="00E70D34">
        <w:rPr>
          <w:rFonts w:ascii="Verdana" w:hAnsi="Verdana"/>
          <w:lang w:val="en-US"/>
        </w:rPr>
        <w:t>;</w:t>
      </w:r>
      <w:r w:rsidR="00FC50F7" w:rsidRPr="00147880">
        <w:rPr>
          <w:rFonts w:ascii="Verdana" w:hAnsi="Verdana"/>
          <w:lang w:val="en-US"/>
        </w:rPr>
        <w:t xml:space="preserve"> </w:t>
      </w:r>
    </w:p>
    <w:p w:rsidR="00E70D34" w:rsidRDefault="00E70D34" w:rsidP="00693249">
      <w:pPr>
        <w:pBdr>
          <w:top w:val="single" w:sz="4" w:space="1" w:color="auto"/>
          <w:left w:val="single" w:sz="4" w:space="4" w:color="auto"/>
          <w:bottom w:val="single" w:sz="4" w:space="1" w:color="auto"/>
          <w:right w:val="single" w:sz="4" w:space="4" w:color="auto"/>
        </w:pBdr>
        <w:ind w:left="284" w:hanging="284"/>
        <w:jc w:val="both"/>
        <w:rPr>
          <w:rFonts w:ascii="Verdana" w:hAnsi="Verdana"/>
          <w:lang w:val="en-US"/>
        </w:rPr>
      </w:pPr>
      <w:r>
        <w:rPr>
          <w:rFonts w:ascii="Verdana" w:hAnsi="Verdana"/>
          <w:lang w:val="en-US"/>
        </w:rPr>
        <w:t xml:space="preserve">- </w:t>
      </w:r>
      <w:r w:rsidRPr="00E70D34">
        <w:rPr>
          <w:rFonts w:ascii="Verdana" w:hAnsi="Verdana"/>
          <w:lang w:val="en-US"/>
        </w:rPr>
        <w:t xml:space="preserve">In S.29.03.R0300 the net impact of the amount of the assets held by </w:t>
      </w:r>
      <w:r w:rsidR="002A3D11" w:rsidRPr="00BA2A0B">
        <w:rPr>
          <w:rFonts w:ascii="Verdana" w:hAnsi="Verdana"/>
          <w:lang w:val="en-US"/>
        </w:rPr>
        <w:t xml:space="preserve">index-linked </w:t>
      </w:r>
      <w:r w:rsidR="002A3D11">
        <w:rPr>
          <w:rFonts w:ascii="Verdana" w:hAnsi="Verdana"/>
          <w:lang w:val="en-US"/>
        </w:rPr>
        <w:t>and unit-linked</w:t>
      </w:r>
      <w:r w:rsidRPr="00E70D34">
        <w:rPr>
          <w:rFonts w:ascii="Verdana" w:hAnsi="Verdana"/>
          <w:lang w:val="en-US"/>
        </w:rPr>
        <w:t xml:space="preserve"> business and of Technical provisions – index-linked and unit-linked (calculated as best estimate and risk margin or calculate as a whole)</w:t>
      </w:r>
      <w:r w:rsidR="00AE3B9D">
        <w:rPr>
          <w:rFonts w:ascii="Verdana" w:hAnsi="Verdana"/>
          <w:lang w:val="en-US"/>
        </w:rPr>
        <w:t>, including the technical flows,</w:t>
      </w:r>
      <w:r w:rsidRPr="00E70D34">
        <w:rPr>
          <w:rFonts w:ascii="Verdana" w:hAnsi="Verdana"/>
          <w:lang w:val="en-US"/>
        </w:rPr>
        <w:t xml:space="preserve"> should be reported for information</w:t>
      </w:r>
      <w:r>
        <w:rPr>
          <w:rFonts w:ascii="Verdana" w:hAnsi="Verdana"/>
          <w:lang w:val="en-US"/>
        </w:rPr>
        <w:t>;</w:t>
      </w:r>
    </w:p>
    <w:p w:rsidR="00E70D34" w:rsidRDefault="00E70D34" w:rsidP="00693249">
      <w:pPr>
        <w:pBdr>
          <w:top w:val="single" w:sz="4" w:space="1" w:color="auto"/>
          <w:left w:val="single" w:sz="4" w:space="4" w:color="auto"/>
          <w:bottom w:val="single" w:sz="4" w:space="1" w:color="auto"/>
          <w:right w:val="single" w:sz="4" w:space="4" w:color="auto"/>
        </w:pBdr>
        <w:ind w:left="284" w:hanging="284"/>
        <w:jc w:val="both"/>
        <w:rPr>
          <w:rFonts w:ascii="Verdana" w:hAnsi="Verdana"/>
          <w:lang w:val="en-US"/>
        </w:rPr>
      </w:pPr>
      <w:r>
        <w:rPr>
          <w:rFonts w:ascii="Verdana" w:hAnsi="Verdana"/>
          <w:lang w:val="en-US"/>
        </w:rPr>
        <w:t>-  In S.29.03., t</w:t>
      </w:r>
      <w:r w:rsidRPr="007853BA">
        <w:rPr>
          <w:rFonts w:ascii="Verdana" w:hAnsi="Verdana"/>
          <w:lang w:val="en-US"/>
        </w:rPr>
        <w:t xml:space="preserve">he second </w:t>
      </w:r>
      <w:r w:rsidRPr="00393A25">
        <w:rPr>
          <w:rFonts w:ascii="Verdana" w:hAnsi="Verdana"/>
          <w:lang w:val="en-US"/>
        </w:rPr>
        <w:t>table (R0310 to R0350) of the te</w:t>
      </w:r>
      <w:r w:rsidRPr="007853BA">
        <w:rPr>
          <w:rFonts w:ascii="Verdana" w:hAnsi="Verdana"/>
          <w:lang w:val="en-US"/>
        </w:rPr>
        <w:t xml:space="preserve">mplate reflects the technical flows </w:t>
      </w:r>
      <w:r w:rsidRPr="007140FC">
        <w:rPr>
          <w:rFonts w:ascii="Verdana" w:hAnsi="Verdana"/>
          <w:lang w:val="en-US"/>
        </w:rPr>
        <w:t xml:space="preserve">affecting technical provisions but that are not reflected in the best </w:t>
      </w:r>
      <w:r w:rsidRPr="00393A25">
        <w:rPr>
          <w:rFonts w:ascii="Verdana" w:hAnsi="Verdana"/>
          <w:lang w:val="en-US"/>
        </w:rPr>
        <w:t xml:space="preserve">estimate. This amounts should include the technical flows related to </w:t>
      </w:r>
      <w:r w:rsidR="002A3D11" w:rsidRPr="00BA2A0B">
        <w:rPr>
          <w:rFonts w:ascii="Verdana" w:hAnsi="Verdana"/>
          <w:lang w:val="en-US"/>
        </w:rPr>
        <w:t xml:space="preserve">index-linked </w:t>
      </w:r>
      <w:r w:rsidR="002A3D11">
        <w:rPr>
          <w:rFonts w:ascii="Verdana" w:hAnsi="Verdana"/>
          <w:lang w:val="en-US"/>
        </w:rPr>
        <w:t>and unit-linked</w:t>
      </w:r>
      <w:r>
        <w:rPr>
          <w:rFonts w:ascii="Verdana" w:hAnsi="Verdana"/>
          <w:lang w:val="en-US"/>
        </w:rPr>
        <w:t>;</w:t>
      </w:r>
    </w:p>
    <w:p w:rsidR="00E70D34" w:rsidRDefault="00E70D34" w:rsidP="00693249">
      <w:pPr>
        <w:pBdr>
          <w:top w:val="single" w:sz="4" w:space="1" w:color="auto"/>
          <w:left w:val="single" w:sz="4" w:space="4" w:color="auto"/>
          <w:bottom w:val="single" w:sz="4" w:space="1" w:color="auto"/>
          <w:right w:val="single" w:sz="4" w:space="4" w:color="auto"/>
        </w:pBdr>
        <w:ind w:left="284" w:hanging="284"/>
        <w:jc w:val="both"/>
        <w:rPr>
          <w:rFonts w:ascii="Verdana" w:hAnsi="Verdana"/>
          <w:lang w:val="en-US"/>
        </w:rPr>
      </w:pPr>
      <w:r>
        <w:rPr>
          <w:rFonts w:ascii="Verdana" w:hAnsi="Verdana"/>
          <w:lang w:val="en-US"/>
        </w:rPr>
        <w:t>- In S.29.03.</w:t>
      </w:r>
      <w:r w:rsidRPr="00393A25">
        <w:rPr>
          <w:rFonts w:ascii="Verdana" w:hAnsi="Verdana"/>
          <w:lang w:val="en-US"/>
        </w:rPr>
        <w:t xml:space="preserve">R0360, the amounts refers to </w:t>
      </w:r>
      <w:r w:rsidR="00980E98">
        <w:rPr>
          <w:rFonts w:ascii="Verdana" w:hAnsi="Verdana"/>
          <w:lang w:val="en-US"/>
        </w:rPr>
        <w:t xml:space="preserve">gross </w:t>
      </w:r>
      <w:r w:rsidRPr="00393A25">
        <w:rPr>
          <w:rFonts w:ascii="Verdana" w:hAnsi="Verdana"/>
          <w:lang w:val="en-US"/>
        </w:rPr>
        <w:t xml:space="preserve">total technical provisions, </w:t>
      </w:r>
      <w:r w:rsidRPr="00393A25">
        <w:rPr>
          <w:rFonts w:ascii="Verdana" w:eastAsia="Verdana" w:hAnsi="Verdana" w:cs="Verdana"/>
          <w:lang w:val="en-US"/>
        </w:rPr>
        <w:t xml:space="preserve">so </w:t>
      </w:r>
      <w:r w:rsidRPr="00393A25">
        <w:rPr>
          <w:rFonts w:ascii="Verdana" w:hAnsi="Verdana"/>
          <w:lang w:val="en-US"/>
        </w:rPr>
        <w:t xml:space="preserve">including best estimate, risk margin, technical provisions calculated as a </w:t>
      </w:r>
      <w:r w:rsidRPr="00393A25">
        <w:rPr>
          <w:rFonts w:ascii="Verdana" w:eastAsia="Verdana" w:hAnsi="Verdana" w:cs="Verdana"/>
          <w:lang w:val="en-US"/>
        </w:rPr>
        <w:t>whole</w:t>
      </w:r>
      <w:r w:rsidRPr="00393A25">
        <w:rPr>
          <w:rFonts w:ascii="Verdana" w:hAnsi="Verdana"/>
          <w:lang w:val="en-US"/>
        </w:rPr>
        <w:t xml:space="preserve"> and </w:t>
      </w:r>
      <w:r w:rsidRPr="00393A25">
        <w:rPr>
          <w:rFonts w:ascii="Verdana" w:eastAsia="Verdana" w:hAnsi="Verdana" w:cs="Verdana"/>
          <w:lang w:val="en-US"/>
        </w:rPr>
        <w:t xml:space="preserve">the </w:t>
      </w:r>
      <w:r w:rsidRPr="00393A25">
        <w:rPr>
          <w:rFonts w:ascii="Verdana" w:hAnsi="Verdana"/>
          <w:lang w:val="en-US"/>
        </w:rPr>
        <w:t>transitional measure on Technical Provisions</w:t>
      </w:r>
      <w:r>
        <w:rPr>
          <w:rFonts w:ascii="Verdana" w:hAnsi="Verdana"/>
          <w:lang w:val="en-US"/>
        </w:rPr>
        <w:t xml:space="preserve">, also related to </w:t>
      </w:r>
      <w:r w:rsidR="002A3D11" w:rsidRPr="00BA2A0B">
        <w:rPr>
          <w:rFonts w:ascii="Verdana" w:hAnsi="Verdana"/>
          <w:lang w:val="en-US"/>
        </w:rPr>
        <w:t xml:space="preserve">index-linked </w:t>
      </w:r>
      <w:r w:rsidR="002A3D11">
        <w:rPr>
          <w:rFonts w:ascii="Verdana" w:hAnsi="Verdana"/>
          <w:lang w:val="en-US"/>
        </w:rPr>
        <w:t>and unit-linked</w:t>
      </w:r>
      <w:r w:rsidRPr="00E70D34">
        <w:rPr>
          <w:rFonts w:ascii="Verdana" w:hAnsi="Verdana"/>
          <w:lang w:val="en-US"/>
        </w:rPr>
        <w:t xml:space="preserve"> business</w:t>
      </w:r>
      <w:r>
        <w:rPr>
          <w:rFonts w:ascii="Verdana" w:hAnsi="Verdana"/>
          <w:lang w:val="en-US"/>
        </w:rPr>
        <w:t>;</w:t>
      </w:r>
    </w:p>
    <w:p w:rsidR="00CC3417" w:rsidRPr="005D495C" w:rsidRDefault="00E70D34" w:rsidP="00693249">
      <w:pPr>
        <w:pBdr>
          <w:top w:val="single" w:sz="4" w:space="1" w:color="auto"/>
          <w:left w:val="single" w:sz="4" w:space="4" w:color="auto"/>
          <w:bottom w:val="single" w:sz="4" w:space="1" w:color="auto"/>
          <w:right w:val="single" w:sz="4" w:space="4" w:color="auto"/>
        </w:pBdr>
        <w:ind w:left="284" w:hanging="284"/>
        <w:jc w:val="both"/>
        <w:rPr>
          <w:rFonts w:ascii="Verdana" w:hAnsi="Verdana"/>
          <w:lang w:val="en-US"/>
        </w:rPr>
      </w:pPr>
      <w:r>
        <w:rPr>
          <w:rFonts w:ascii="Verdana" w:hAnsi="Verdana"/>
          <w:lang w:val="en-US"/>
        </w:rPr>
        <w:t xml:space="preserve">-  </w:t>
      </w:r>
      <w:r w:rsidR="00CC3417" w:rsidRPr="00D56959">
        <w:rPr>
          <w:rFonts w:ascii="Verdana" w:hAnsi="Verdana"/>
          <w:lang w:val="en-US"/>
        </w:rPr>
        <w:t>In S.</w:t>
      </w:r>
      <w:r w:rsidR="00CC3417" w:rsidRPr="00B06CF8">
        <w:rPr>
          <w:rFonts w:ascii="Verdana" w:hAnsi="Verdana"/>
          <w:lang w:val="en-US"/>
        </w:rPr>
        <w:t xml:space="preserve">29.01. </w:t>
      </w:r>
      <w:r w:rsidRPr="00117899">
        <w:rPr>
          <w:rFonts w:ascii="Verdana" w:hAnsi="Verdana"/>
          <w:lang w:val="en-US"/>
        </w:rPr>
        <w:t xml:space="preserve">the amounts are related to </w:t>
      </w:r>
      <w:r w:rsidR="002A3D11" w:rsidRPr="00BA2A0B">
        <w:rPr>
          <w:rFonts w:ascii="Verdana" w:hAnsi="Verdana"/>
          <w:lang w:val="en-US"/>
        </w:rPr>
        <w:t xml:space="preserve">index-linked </w:t>
      </w:r>
      <w:r w:rsidR="002A3D11">
        <w:rPr>
          <w:rFonts w:ascii="Verdana" w:hAnsi="Verdana"/>
          <w:lang w:val="en-US"/>
        </w:rPr>
        <w:t xml:space="preserve">and unit-linked </w:t>
      </w:r>
      <w:r w:rsidRPr="00B06CF8">
        <w:rPr>
          <w:rFonts w:ascii="Verdana" w:hAnsi="Verdana"/>
          <w:lang w:val="en-US"/>
        </w:rPr>
        <w:t>business</w:t>
      </w:r>
      <w:r w:rsidRPr="00117899">
        <w:rPr>
          <w:rFonts w:ascii="Verdana" w:hAnsi="Verdana"/>
          <w:lang w:val="en-US"/>
        </w:rPr>
        <w:t xml:space="preserve">  are then reflected in R0190 (assets) and R0200 (technical provisions). </w:t>
      </w:r>
      <w:r w:rsidR="00BE1B93" w:rsidRPr="005D495C">
        <w:rPr>
          <w:rFonts w:ascii="Verdana" w:hAnsi="Verdana"/>
          <w:lang w:val="en-US"/>
        </w:rPr>
        <w:t xml:space="preserve"> </w:t>
      </w:r>
    </w:p>
    <w:p w:rsidR="00DD4C63" w:rsidRDefault="00DD4C63" w:rsidP="00AA2B9D">
      <w:pPr>
        <w:pBdr>
          <w:top w:val="single" w:sz="4" w:space="1" w:color="auto"/>
          <w:left w:val="single" w:sz="4" w:space="4" w:color="auto"/>
          <w:bottom w:val="single" w:sz="4" w:space="1" w:color="auto"/>
          <w:right w:val="single" w:sz="4" w:space="4" w:color="auto"/>
        </w:pBdr>
        <w:jc w:val="both"/>
        <w:rPr>
          <w:rFonts w:ascii="Verdana" w:hAnsi="Verdana"/>
          <w:b/>
          <w:lang w:val="en-US"/>
        </w:rPr>
      </w:pPr>
      <w:r>
        <w:rPr>
          <w:rFonts w:ascii="Verdana" w:hAnsi="Verdana"/>
          <w:b/>
          <w:lang w:val="en-US"/>
        </w:rPr>
        <w:t>Q&amp;A 1421:</w:t>
      </w:r>
    </w:p>
    <w:p w:rsidR="00DE44D5" w:rsidRDefault="00DD4C63" w:rsidP="00AA2B9D">
      <w:pPr>
        <w:pBdr>
          <w:top w:val="single" w:sz="4" w:space="1" w:color="auto"/>
          <w:left w:val="single" w:sz="4" w:space="4" w:color="auto"/>
          <w:bottom w:val="single" w:sz="4" w:space="1" w:color="auto"/>
          <w:right w:val="single" w:sz="4" w:space="4" w:color="auto"/>
        </w:pBdr>
        <w:jc w:val="both"/>
        <w:rPr>
          <w:rFonts w:ascii="Verdana" w:hAnsi="Verdana"/>
        </w:rPr>
      </w:pPr>
      <w:r w:rsidRPr="00117899">
        <w:rPr>
          <w:rFonts w:ascii="Verdana" w:hAnsi="Verdana"/>
        </w:rPr>
        <w:t>We have a question concerning the variation analysis. We are not sure in which step to report the variation of the best estimate due to projection of incorrect future cashflows, because of an incorrect projection of cashflows of the first year.</w:t>
      </w:r>
      <w:r w:rsidRPr="00117899">
        <w:rPr>
          <w:rFonts w:ascii="Verdana" w:hAnsi="Verdana"/>
        </w:rPr>
        <w:br/>
        <w:t>For example:</w:t>
      </w:r>
    </w:p>
    <w:p w:rsidR="00DD4C63" w:rsidRPr="00117899" w:rsidRDefault="00DD4C63" w:rsidP="00AA2B9D">
      <w:pPr>
        <w:pBdr>
          <w:top w:val="single" w:sz="4" w:space="1" w:color="auto"/>
          <w:left w:val="single" w:sz="4" w:space="4" w:color="auto"/>
          <w:bottom w:val="single" w:sz="4" w:space="1" w:color="auto"/>
          <w:right w:val="single" w:sz="4" w:space="4" w:color="auto"/>
        </w:pBdr>
        <w:jc w:val="both"/>
        <w:rPr>
          <w:rFonts w:ascii="Verdana" w:hAnsi="Verdana"/>
        </w:rPr>
      </w:pPr>
      <w:r w:rsidRPr="00117899">
        <w:rPr>
          <w:rFonts w:ascii="Verdana" w:hAnsi="Verdana"/>
        </w:rPr>
        <w:t>In S.29.03 step "Variation of Best Estimate due to experience and other</w:t>
      </w:r>
      <w:r w:rsidRPr="00117899">
        <w:rPr>
          <w:rFonts w:ascii="Verdana" w:hAnsi="Verdana"/>
        </w:rPr>
        <w:br/>
        <w:t>sources - risks accepted/covered prior to period (R0080/R0230)" we have to</w:t>
      </w:r>
      <w:r w:rsidRPr="00117899">
        <w:rPr>
          <w:rFonts w:ascii="Verdana" w:hAnsi="Verdana"/>
        </w:rPr>
        <w:br/>
        <w:t>report only the first year. (According to the legal text 2015/2450: The variation of Best Estimate captured here shall strictly relate to the strict</w:t>
      </w:r>
      <w:r w:rsidRPr="00117899">
        <w:rPr>
          <w:rFonts w:ascii="Verdana" w:hAnsi="Verdana"/>
        </w:rPr>
        <w:br/>
        <w:t>realisation of cash flows when compared to the cash flows that were projected.)</w:t>
      </w:r>
      <w:r w:rsidRPr="00117899">
        <w:rPr>
          <w:rFonts w:ascii="Verdana" w:hAnsi="Verdana"/>
        </w:rPr>
        <w:br/>
      </w:r>
      <w:r w:rsidRPr="00117899">
        <w:rPr>
          <w:rFonts w:ascii="Verdana" w:hAnsi="Verdana"/>
        </w:rPr>
        <w:br/>
        <w:t>Assume a projected cashflow of 1 million due to surrender, but the actual cashflow was 2 million. Then this will affect all future cashflows as well, as for example cashflows that are projected can no longer occur because these contracts lapsed. Consequently, not only the cashflow in the first year but all other cashflows have to be adapted to obtain the closing best estimate.</w:t>
      </w:r>
      <w:r w:rsidRPr="00117899">
        <w:rPr>
          <w:rFonts w:ascii="Verdana" w:hAnsi="Verdana"/>
        </w:rPr>
        <w:br/>
      </w:r>
      <w:r w:rsidRPr="00117899">
        <w:rPr>
          <w:rFonts w:ascii="Verdana" w:hAnsi="Verdana"/>
        </w:rPr>
        <w:br/>
        <w:t>As a consequence the position "other changes not elsewhere shown (R0110/R0260)" would include a lot of positions making the analysis of variance harder to interpret.</w:t>
      </w:r>
    </w:p>
    <w:p w:rsidR="00DD4C63" w:rsidRPr="003E2030" w:rsidRDefault="00DD4C63" w:rsidP="00AA2B9D">
      <w:pPr>
        <w:pBdr>
          <w:top w:val="single" w:sz="4" w:space="1" w:color="auto"/>
          <w:left w:val="single" w:sz="4" w:space="4" w:color="auto"/>
          <w:bottom w:val="single" w:sz="4" w:space="1" w:color="auto"/>
          <w:right w:val="single" w:sz="4" w:space="4" w:color="auto"/>
        </w:pBdr>
        <w:jc w:val="both"/>
        <w:rPr>
          <w:rFonts w:ascii="Verdana" w:hAnsi="Verdana"/>
          <w:b/>
          <w:lang w:val="en-US"/>
        </w:rPr>
      </w:pPr>
      <w:r w:rsidRPr="003E2030">
        <w:rPr>
          <w:rFonts w:ascii="Verdana" w:hAnsi="Verdana"/>
          <w:b/>
          <w:lang w:val="en-US"/>
        </w:rPr>
        <w:t>Answer:</w:t>
      </w:r>
    </w:p>
    <w:p w:rsidR="00DD4C63" w:rsidRPr="00117899" w:rsidRDefault="00DD4C63" w:rsidP="00AA2B9D">
      <w:pPr>
        <w:pBdr>
          <w:top w:val="single" w:sz="4" w:space="1" w:color="auto"/>
          <w:left w:val="single" w:sz="4" w:space="4" w:color="auto"/>
          <w:bottom w:val="single" w:sz="4" w:space="1" w:color="auto"/>
          <w:right w:val="single" w:sz="4" w:space="4" w:color="auto"/>
        </w:pBdr>
        <w:jc w:val="both"/>
        <w:rPr>
          <w:rFonts w:ascii="Verdana" w:hAnsi="Verdana"/>
        </w:rPr>
      </w:pPr>
      <w:r w:rsidRPr="00117899">
        <w:rPr>
          <w:rFonts w:ascii="Verdana" w:hAnsi="Verdana"/>
        </w:rPr>
        <w:t xml:space="preserve">Regarding </w:t>
      </w:r>
      <w:r w:rsidR="006104FE" w:rsidRPr="00117899">
        <w:rPr>
          <w:rFonts w:ascii="Verdana" w:hAnsi="Verdana"/>
        </w:rPr>
        <w:t>this</w:t>
      </w:r>
      <w:r w:rsidRPr="00117899">
        <w:rPr>
          <w:rFonts w:ascii="Verdana" w:hAnsi="Verdana"/>
        </w:rPr>
        <w:t xml:space="preserve"> example the following should be reported:</w:t>
      </w:r>
    </w:p>
    <w:p w:rsidR="00DD4C63" w:rsidRPr="00117899" w:rsidRDefault="00DD4C63" w:rsidP="00DD4C63">
      <w:pPr>
        <w:pBdr>
          <w:top w:val="single" w:sz="4" w:space="1" w:color="auto"/>
          <w:left w:val="single" w:sz="4" w:space="4" w:color="auto"/>
          <w:bottom w:val="single" w:sz="4" w:space="1" w:color="auto"/>
          <w:right w:val="single" w:sz="4" w:space="4" w:color="auto"/>
        </w:pBdr>
        <w:jc w:val="both"/>
        <w:rPr>
          <w:rFonts w:ascii="Verdana" w:hAnsi="Verdana"/>
        </w:rPr>
      </w:pPr>
      <w:r w:rsidRPr="00117899">
        <w:rPr>
          <w:rFonts w:ascii="Verdana" w:hAnsi="Verdana"/>
        </w:rPr>
        <w:t>-</w:t>
      </w:r>
      <w:r w:rsidRPr="00117899">
        <w:rPr>
          <w:rFonts w:ascii="Verdana" w:hAnsi="Verdana"/>
        </w:rPr>
        <w:tab/>
        <w:t xml:space="preserve">In R0070 </w:t>
      </w:r>
      <w:r w:rsidR="00BD749E" w:rsidRPr="00117899">
        <w:rPr>
          <w:rFonts w:ascii="Verdana" w:hAnsi="Verdana"/>
        </w:rPr>
        <w:t>adjustment for the projected 1 million;</w:t>
      </w:r>
    </w:p>
    <w:p w:rsidR="00DD4C63" w:rsidRPr="00117899" w:rsidRDefault="00DD4C63" w:rsidP="00DD4C63">
      <w:pPr>
        <w:pBdr>
          <w:top w:val="single" w:sz="4" w:space="1" w:color="auto"/>
          <w:left w:val="single" w:sz="4" w:space="4" w:color="auto"/>
          <w:bottom w:val="single" w:sz="4" w:space="1" w:color="auto"/>
          <w:right w:val="single" w:sz="4" w:space="4" w:color="auto"/>
        </w:pBdr>
        <w:jc w:val="both"/>
        <w:rPr>
          <w:rFonts w:ascii="Verdana" w:hAnsi="Verdana"/>
        </w:rPr>
      </w:pPr>
      <w:r w:rsidRPr="00117899">
        <w:rPr>
          <w:rFonts w:ascii="Verdana" w:hAnsi="Verdana"/>
        </w:rPr>
        <w:t>-</w:t>
      </w:r>
      <w:r w:rsidRPr="00117899">
        <w:rPr>
          <w:rFonts w:ascii="Verdana" w:hAnsi="Verdana"/>
        </w:rPr>
        <w:tab/>
        <w:t xml:space="preserve">In R0080 adjustment </w:t>
      </w:r>
      <w:r w:rsidR="00BD749E" w:rsidRPr="00117899">
        <w:rPr>
          <w:rFonts w:ascii="Verdana" w:hAnsi="Verdana"/>
        </w:rPr>
        <w:t>for</w:t>
      </w:r>
      <w:r w:rsidRPr="00117899">
        <w:rPr>
          <w:rFonts w:ascii="Verdana" w:hAnsi="Verdana"/>
        </w:rPr>
        <w:t xml:space="preserve"> the future CF</w:t>
      </w:r>
      <w:r w:rsidR="00BD749E" w:rsidRPr="00117899">
        <w:rPr>
          <w:rFonts w:ascii="Verdana" w:hAnsi="Verdana"/>
        </w:rPr>
        <w:t xml:space="preserve"> of the new situation after 2 million surrenders</w:t>
      </w:r>
      <w:r w:rsidRPr="00117899">
        <w:rPr>
          <w:rFonts w:ascii="Verdana" w:hAnsi="Verdana"/>
        </w:rPr>
        <w:t>;</w:t>
      </w:r>
    </w:p>
    <w:p w:rsidR="00DD4C63" w:rsidRPr="00117899" w:rsidRDefault="00DD4C63" w:rsidP="00DD4C63">
      <w:pPr>
        <w:pBdr>
          <w:top w:val="single" w:sz="4" w:space="1" w:color="auto"/>
          <w:left w:val="single" w:sz="4" w:space="4" w:color="auto"/>
          <w:bottom w:val="single" w:sz="4" w:space="1" w:color="auto"/>
          <w:right w:val="single" w:sz="4" w:space="4" w:color="auto"/>
        </w:pBdr>
        <w:jc w:val="both"/>
        <w:rPr>
          <w:rFonts w:ascii="Verdana" w:hAnsi="Verdana"/>
        </w:rPr>
      </w:pPr>
      <w:r w:rsidRPr="00117899">
        <w:rPr>
          <w:rFonts w:ascii="Verdana" w:hAnsi="Verdana"/>
        </w:rPr>
        <w:t>-</w:t>
      </w:r>
      <w:r w:rsidRPr="00117899">
        <w:rPr>
          <w:rFonts w:ascii="Verdana" w:hAnsi="Verdana"/>
        </w:rPr>
        <w:tab/>
      </w:r>
      <w:r w:rsidR="00BD749E" w:rsidRPr="00117899">
        <w:rPr>
          <w:rFonts w:ascii="Verdana" w:hAnsi="Verdana"/>
        </w:rPr>
        <w:t>In R0320 surrender value</w:t>
      </w:r>
      <w:r w:rsidRPr="00117899">
        <w:rPr>
          <w:rFonts w:ascii="Verdana" w:hAnsi="Verdana"/>
        </w:rPr>
        <w:t>.</w:t>
      </w:r>
    </w:p>
    <w:p w:rsidR="009839E4" w:rsidRDefault="009839E4" w:rsidP="00AA2B9D">
      <w:pPr>
        <w:pBdr>
          <w:top w:val="single" w:sz="4" w:space="1" w:color="auto"/>
          <w:left w:val="single" w:sz="4" w:space="4" w:color="auto"/>
          <w:bottom w:val="single" w:sz="4" w:space="1" w:color="auto"/>
          <w:right w:val="single" w:sz="4" w:space="4" w:color="auto"/>
        </w:pBdr>
        <w:jc w:val="both"/>
        <w:rPr>
          <w:rFonts w:ascii="Verdana" w:hAnsi="Verdana"/>
          <w:b/>
          <w:lang w:val="en-US"/>
        </w:rPr>
      </w:pPr>
      <w:r>
        <w:rPr>
          <w:rFonts w:ascii="Verdana" w:hAnsi="Verdana"/>
          <w:b/>
          <w:lang w:val="en-US"/>
        </w:rPr>
        <w:t>Q&amp;A 1439</w:t>
      </w:r>
      <w:r w:rsidR="00305980">
        <w:rPr>
          <w:rFonts w:ascii="Verdana" w:hAnsi="Verdana"/>
          <w:b/>
          <w:lang w:val="en-US"/>
        </w:rPr>
        <w:t>:</w:t>
      </w:r>
    </w:p>
    <w:p w:rsidR="009839E4" w:rsidRPr="00117899" w:rsidRDefault="009839E4" w:rsidP="00AA2B9D">
      <w:pPr>
        <w:pBdr>
          <w:top w:val="single" w:sz="4" w:space="1" w:color="auto"/>
          <w:left w:val="single" w:sz="4" w:space="4" w:color="auto"/>
          <w:bottom w:val="single" w:sz="4" w:space="1" w:color="auto"/>
          <w:right w:val="single" w:sz="4" w:space="4" w:color="auto"/>
        </w:pBdr>
        <w:jc w:val="both"/>
        <w:rPr>
          <w:rFonts w:ascii="Verdana" w:hAnsi="Verdana"/>
        </w:rPr>
      </w:pPr>
      <w:r w:rsidRPr="00117899">
        <w:rPr>
          <w:rFonts w:ascii="Verdana" w:hAnsi="Verdana"/>
        </w:rPr>
        <w:t>According to both Logs and templates, direct business should be broken down by UWY or AY. However, according to our reading, the EIOPA template of the QRT does not foresee any breakdown fields or additional columns to integrate the different accident years for example. Could you please confirm that there’s no need to display a breakdown by UWY or AY in this QRT?</w:t>
      </w:r>
    </w:p>
    <w:p w:rsidR="00ED7E80" w:rsidRPr="00DE44D5" w:rsidRDefault="00ED7E80" w:rsidP="00AA2B9D">
      <w:pPr>
        <w:pBdr>
          <w:top w:val="single" w:sz="4" w:space="1" w:color="auto"/>
          <w:left w:val="single" w:sz="4" w:space="4" w:color="auto"/>
          <w:bottom w:val="single" w:sz="4" w:space="1" w:color="auto"/>
          <w:right w:val="single" w:sz="4" w:space="4" w:color="auto"/>
        </w:pBdr>
        <w:jc w:val="both"/>
        <w:rPr>
          <w:rFonts w:ascii="Verdana" w:hAnsi="Verdana"/>
          <w:b/>
          <w:lang w:val="en-US"/>
        </w:rPr>
      </w:pPr>
      <w:r w:rsidRPr="00DE44D5">
        <w:rPr>
          <w:rFonts w:ascii="Verdana" w:hAnsi="Verdana"/>
          <w:b/>
          <w:lang w:val="en-US"/>
        </w:rPr>
        <w:t>Q&amp;A 1468:</w:t>
      </w:r>
    </w:p>
    <w:p w:rsidR="00ED7E80" w:rsidRPr="00117899" w:rsidRDefault="00ED7E80" w:rsidP="00AA2B9D">
      <w:pPr>
        <w:pBdr>
          <w:top w:val="single" w:sz="4" w:space="1" w:color="auto"/>
          <w:left w:val="single" w:sz="4" w:space="4" w:color="auto"/>
          <w:bottom w:val="single" w:sz="4" w:space="1" w:color="auto"/>
          <w:right w:val="single" w:sz="4" w:space="4" w:color="auto"/>
        </w:pBdr>
        <w:jc w:val="both"/>
        <w:rPr>
          <w:rFonts w:ascii="Verdana" w:hAnsi="Verdana"/>
        </w:rPr>
      </w:pPr>
      <w:r w:rsidRPr="00117899">
        <w:rPr>
          <w:rFonts w:ascii="Verdana" w:hAnsi="Verdana"/>
        </w:rPr>
        <w:t>Could you please confirm that there’s no need to display a breakdown by UWY or AY in the QRT S.29.03 ?</w:t>
      </w:r>
    </w:p>
    <w:p w:rsidR="00305980" w:rsidRPr="00DE44D5" w:rsidRDefault="00305980" w:rsidP="00AA2B9D">
      <w:pPr>
        <w:pBdr>
          <w:top w:val="single" w:sz="4" w:space="1" w:color="auto"/>
          <w:left w:val="single" w:sz="4" w:space="4" w:color="auto"/>
          <w:bottom w:val="single" w:sz="4" w:space="1" w:color="auto"/>
          <w:right w:val="single" w:sz="4" w:space="4" w:color="auto"/>
        </w:pBdr>
        <w:jc w:val="both"/>
        <w:rPr>
          <w:rFonts w:ascii="Verdana" w:hAnsi="Verdana"/>
          <w:b/>
          <w:lang w:val="en-US"/>
        </w:rPr>
      </w:pPr>
      <w:r w:rsidRPr="00DE44D5">
        <w:rPr>
          <w:rFonts w:ascii="Verdana" w:hAnsi="Verdana"/>
          <w:b/>
          <w:lang w:val="en-US"/>
        </w:rPr>
        <w:t>Q&amp;A</w:t>
      </w:r>
      <w:r w:rsidR="00B56F8D" w:rsidRPr="00DE44D5">
        <w:rPr>
          <w:rFonts w:ascii="Verdana" w:hAnsi="Verdana"/>
          <w:b/>
          <w:lang w:val="en-US"/>
        </w:rPr>
        <w:t xml:space="preserve"> </w:t>
      </w:r>
      <w:r w:rsidRPr="00DE44D5">
        <w:rPr>
          <w:rFonts w:ascii="Verdana" w:hAnsi="Verdana"/>
          <w:b/>
          <w:lang w:val="en-US"/>
        </w:rPr>
        <w:t>1512:</w:t>
      </w:r>
    </w:p>
    <w:p w:rsidR="00DE44D5" w:rsidRDefault="00305980" w:rsidP="00AA2B9D">
      <w:pPr>
        <w:pBdr>
          <w:top w:val="single" w:sz="4" w:space="1" w:color="auto"/>
          <w:left w:val="single" w:sz="4" w:space="4" w:color="auto"/>
          <w:bottom w:val="single" w:sz="4" w:space="1" w:color="auto"/>
          <w:right w:val="single" w:sz="4" w:space="4" w:color="auto"/>
        </w:pBdr>
        <w:jc w:val="both"/>
        <w:rPr>
          <w:rFonts w:ascii="Verdana" w:hAnsi="Verdana"/>
        </w:rPr>
      </w:pPr>
      <w:r w:rsidRPr="00013A62">
        <w:rPr>
          <w:rFonts w:ascii="Verdana" w:hAnsi="Verdana"/>
        </w:rPr>
        <w:t>We want to confirm our understanding on item 992. "EIOPA confirms that for each LoB reported in S.29.04 only "Underwriting Year" or "Accident Year" should be reported."</w:t>
      </w:r>
    </w:p>
    <w:p w:rsidR="00305980" w:rsidRPr="00013A62" w:rsidRDefault="00305980" w:rsidP="00AA2B9D">
      <w:pPr>
        <w:pBdr>
          <w:top w:val="single" w:sz="4" w:space="1" w:color="auto"/>
          <w:left w:val="single" w:sz="4" w:space="4" w:color="auto"/>
          <w:bottom w:val="single" w:sz="4" w:space="1" w:color="auto"/>
          <w:right w:val="single" w:sz="4" w:space="4" w:color="auto"/>
        </w:pBdr>
        <w:jc w:val="both"/>
        <w:rPr>
          <w:rFonts w:ascii="Verdana" w:hAnsi="Verdana"/>
        </w:rPr>
      </w:pPr>
      <w:r w:rsidRPr="00013A62">
        <w:rPr>
          <w:rFonts w:ascii="Verdana" w:hAnsi="Verdana"/>
        </w:rPr>
        <w:t xml:space="preserve">For </w:t>
      </w:r>
      <w:r w:rsidR="002D660F">
        <w:rPr>
          <w:rFonts w:ascii="Verdana" w:hAnsi="Verdana"/>
        </w:rPr>
        <w:t>example</w:t>
      </w:r>
      <w:r w:rsidRPr="00013A62">
        <w:rPr>
          <w:rFonts w:ascii="Verdana" w:hAnsi="Verdana"/>
        </w:rPr>
        <w:t xml:space="preserve">, case 1) contract A and contract B are both under one LoB, say 37-life.  Case 2) Best Estimate under one tpye of contract (belongint to LoB 37-life) is composed by two parts: discounted future cashflows A plus outstanding claims B which is not included in A. Then should A and B be reported to the same category(either Underwriting Year or Accident), or could they be reported differently, say A is under Underwritig Year and B is under Accident Year? </w:t>
      </w:r>
    </w:p>
    <w:p w:rsidR="00153A0F" w:rsidRPr="00DE44D5" w:rsidRDefault="00153A0F" w:rsidP="00AA2B9D">
      <w:pPr>
        <w:pBdr>
          <w:top w:val="single" w:sz="4" w:space="1" w:color="auto"/>
          <w:left w:val="single" w:sz="4" w:space="4" w:color="auto"/>
          <w:bottom w:val="single" w:sz="4" w:space="1" w:color="auto"/>
          <w:right w:val="single" w:sz="4" w:space="4" w:color="auto"/>
        </w:pBdr>
        <w:jc w:val="both"/>
        <w:rPr>
          <w:rFonts w:ascii="Verdana" w:hAnsi="Verdana"/>
          <w:b/>
          <w:lang w:val="en-US"/>
        </w:rPr>
      </w:pPr>
      <w:r w:rsidRPr="00DE44D5">
        <w:rPr>
          <w:rFonts w:ascii="Verdana" w:hAnsi="Verdana"/>
          <w:b/>
          <w:lang w:val="en-US"/>
        </w:rPr>
        <w:t>Q&amp;A</w:t>
      </w:r>
      <w:r w:rsidR="00B56F8D" w:rsidRPr="00DE44D5">
        <w:rPr>
          <w:rFonts w:ascii="Verdana" w:hAnsi="Verdana"/>
          <w:b/>
          <w:lang w:val="en-US"/>
        </w:rPr>
        <w:t xml:space="preserve"> </w:t>
      </w:r>
      <w:r w:rsidR="00A6123C">
        <w:rPr>
          <w:rFonts w:ascii="Verdana" w:hAnsi="Verdana"/>
          <w:b/>
          <w:lang w:val="en-US"/>
        </w:rPr>
        <w:t>1513</w:t>
      </w:r>
      <w:r w:rsidRPr="00DE44D5">
        <w:rPr>
          <w:rFonts w:ascii="Verdana" w:hAnsi="Verdana"/>
          <w:b/>
          <w:lang w:val="en-US"/>
        </w:rPr>
        <w:t>:</w:t>
      </w:r>
    </w:p>
    <w:p w:rsidR="00153A0F" w:rsidRPr="00117899" w:rsidRDefault="00153A0F" w:rsidP="00AA2B9D">
      <w:pPr>
        <w:pBdr>
          <w:top w:val="single" w:sz="4" w:space="1" w:color="auto"/>
          <w:left w:val="single" w:sz="4" w:space="4" w:color="auto"/>
          <w:bottom w:val="single" w:sz="4" w:space="1" w:color="auto"/>
          <w:right w:val="single" w:sz="4" w:space="4" w:color="auto"/>
        </w:pBdr>
        <w:jc w:val="both"/>
        <w:rPr>
          <w:rFonts w:ascii="Verdana" w:hAnsi="Verdana"/>
          <w:b/>
        </w:rPr>
      </w:pPr>
      <w:r w:rsidRPr="00117899">
        <w:rPr>
          <w:rFonts w:ascii="Verdana" w:hAnsi="Verdana"/>
        </w:rPr>
        <w:t>In Log file it says "...undertaking may use accident or underwriting year according to how they manage each line of business provided that they use the same year consistently, year on year." Then could we say for a life company, TP should be categorized under Underwriting Year? In which case of life company that the LoB is seen as being managed in accident year? Managing means underwriting the responsibility or valuating or other meaning? How should "outstanding claims" be categorized?</w:t>
      </w:r>
    </w:p>
    <w:p w:rsidR="008B1276" w:rsidRDefault="008B1276" w:rsidP="00AA2B9D">
      <w:pPr>
        <w:pBdr>
          <w:top w:val="single" w:sz="4" w:space="1" w:color="auto"/>
          <w:left w:val="single" w:sz="4" w:space="4" w:color="auto"/>
          <w:bottom w:val="single" w:sz="4" w:space="1" w:color="auto"/>
          <w:right w:val="single" w:sz="4" w:space="4" w:color="auto"/>
        </w:pBdr>
        <w:jc w:val="both"/>
        <w:rPr>
          <w:rFonts w:ascii="Verdana" w:hAnsi="Verdana"/>
          <w:b/>
          <w:lang w:val="en-US"/>
        </w:rPr>
      </w:pPr>
    </w:p>
    <w:p w:rsidR="008B1276" w:rsidRDefault="008B1276" w:rsidP="00AA2B9D">
      <w:pPr>
        <w:pBdr>
          <w:top w:val="single" w:sz="4" w:space="1" w:color="auto"/>
          <w:left w:val="single" w:sz="4" w:space="4" w:color="auto"/>
          <w:bottom w:val="single" w:sz="4" w:space="1" w:color="auto"/>
          <w:right w:val="single" w:sz="4" w:space="4" w:color="auto"/>
        </w:pBdr>
        <w:jc w:val="both"/>
        <w:rPr>
          <w:rFonts w:ascii="Verdana" w:hAnsi="Verdana"/>
          <w:b/>
          <w:lang w:val="en-US"/>
        </w:rPr>
      </w:pPr>
    </w:p>
    <w:p w:rsidR="009839E4" w:rsidRPr="00DE44D5" w:rsidRDefault="009839E4" w:rsidP="00AA2B9D">
      <w:pPr>
        <w:pBdr>
          <w:top w:val="single" w:sz="4" w:space="1" w:color="auto"/>
          <w:left w:val="single" w:sz="4" w:space="4" w:color="auto"/>
          <w:bottom w:val="single" w:sz="4" w:space="1" w:color="auto"/>
          <w:right w:val="single" w:sz="4" w:space="4" w:color="auto"/>
        </w:pBdr>
        <w:jc w:val="both"/>
        <w:rPr>
          <w:rFonts w:ascii="Verdana" w:hAnsi="Verdana"/>
          <w:b/>
          <w:lang w:val="en-US"/>
        </w:rPr>
      </w:pPr>
      <w:r w:rsidRPr="00DE44D5">
        <w:rPr>
          <w:rFonts w:ascii="Verdana" w:hAnsi="Verdana"/>
          <w:b/>
          <w:lang w:val="en-US"/>
        </w:rPr>
        <w:t>Answer:</w:t>
      </w:r>
    </w:p>
    <w:p w:rsidR="00ED7E80" w:rsidRPr="00117899" w:rsidRDefault="00ED7E80" w:rsidP="00AA2B9D">
      <w:pPr>
        <w:pBdr>
          <w:top w:val="single" w:sz="4" w:space="1" w:color="auto"/>
          <w:left w:val="single" w:sz="4" w:space="4" w:color="auto"/>
          <w:bottom w:val="single" w:sz="4" w:space="1" w:color="auto"/>
          <w:right w:val="single" w:sz="4" w:space="4" w:color="auto"/>
        </w:pBdr>
        <w:jc w:val="both"/>
        <w:rPr>
          <w:rFonts w:ascii="Verdana" w:hAnsi="Verdana"/>
          <w:lang w:val="en-US"/>
        </w:rPr>
      </w:pPr>
      <w:r w:rsidRPr="00117899">
        <w:rPr>
          <w:rFonts w:ascii="Verdana" w:hAnsi="Verdana"/>
          <w:lang w:val="en-US"/>
        </w:rPr>
        <w:t xml:space="preserve">The template is divided in between obligations managed by underwriting year (R0010 to R0140) and obligations managed by accident year (R0150 to R0290). Undertakings are required to report data on an accident year or underwriting year basis, in accordance with any requirements of the National Supervisory Authority. If the National Supervisory Authority has not stipulated which to use then the undertaking may use accident or underwriting year according to how they manage each line of business, as defined in Annex I to Delegated Regulation (EU) 2015/35, provided that they use the same consistently, year on year. This question is applicable mostly for non-life and annuities business. In life business, other than annuities, it is expected underwriting year. This choice is not related to how the best estimate is calculated and which item compose the best estimate but rather, when information is requested by years (or periods in case of S.29.04) in each year/period the contract relates to. </w:t>
      </w:r>
    </w:p>
    <w:p w:rsidR="00D449D7" w:rsidRDefault="00D449D7" w:rsidP="00AA2B9D">
      <w:pPr>
        <w:pBdr>
          <w:top w:val="single" w:sz="4" w:space="1" w:color="auto"/>
          <w:left w:val="single" w:sz="4" w:space="4" w:color="auto"/>
          <w:bottom w:val="single" w:sz="4" w:space="1" w:color="auto"/>
          <w:right w:val="single" w:sz="4" w:space="4" w:color="auto"/>
        </w:pBdr>
        <w:jc w:val="both"/>
        <w:rPr>
          <w:rFonts w:ascii="Verdana" w:hAnsi="Verdana"/>
          <w:b/>
          <w:lang w:val="en-US"/>
        </w:rPr>
      </w:pPr>
      <w:r>
        <w:rPr>
          <w:rFonts w:ascii="Verdana" w:hAnsi="Verdana"/>
          <w:b/>
          <w:lang w:val="en-US"/>
        </w:rPr>
        <w:t>Q&amp;A</w:t>
      </w:r>
      <w:r w:rsidR="00B56F8D">
        <w:rPr>
          <w:rFonts w:ascii="Verdana" w:hAnsi="Verdana"/>
          <w:b/>
          <w:lang w:val="en-US"/>
        </w:rPr>
        <w:t xml:space="preserve"> </w:t>
      </w:r>
      <w:r>
        <w:rPr>
          <w:rFonts w:ascii="Verdana" w:hAnsi="Verdana"/>
          <w:b/>
          <w:lang w:val="en-US"/>
        </w:rPr>
        <w:t>1460:</w:t>
      </w:r>
    </w:p>
    <w:p w:rsidR="002D660F" w:rsidRDefault="00D449D7" w:rsidP="00AA2B9D">
      <w:pPr>
        <w:pBdr>
          <w:top w:val="single" w:sz="4" w:space="1" w:color="auto"/>
          <w:left w:val="single" w:sz="4" w:space="4" w:color="auto"/>
          <w:bottom w:val="single" w:sz="4" w:space="1" w:color="auto"/>
          <w:right w:val="single" w:sz="4" w:space="4" w:color="auto"/>
        </w:pBdr>
        <w:jc w:val="both"/>
        <w:rPr>
          <w:rFonts w:ascii="Verdana" w:hAnsi="Verdana"/>
        </w:rPr>
      </w:pPr>
      <w:r w:rsidRPr="00117899">
        <w:rPr>
          <w:rFonts w:ascii="Verdana" w:hAnsi="Verdana"/>
        </w:rPr>
        <w:t>Although the the log file S.29.03 clearly states for C0090/R0300 'Variation in Investments in unit–linked' and the definition is "Amount shall represent the variation, in Balance Sheet, of the Assets held for index–linked and unit–linked funds", this field is often referred to as 'Variation in unit–linked' which creates some confusion.</w:t>
      </w:r>
    </w:p>
    <w:p w:rsidR="00D449D7" w:rsidRPr="00117899" w:rsidRDefault="00D449D7" w:rsidP="00AA2B9D">
      <w:pPr>
        <w:pBdr>
          <w:top w:val="single" w:sz="4" w:space="1" w:color="auto"/>
          <w:left w:val="single" w:sz="4" w:space="4" w:color="auto"/>
          <w:bottom w:val="single" w:sz="4" w:space="1" w:color="auto"/>
          <w:right w:val="single" w:sz="4" w:space="4" w:color="auto"/>
        </w:pBdr>
        <w:jc w:val="both"/>
        <w:rPr>
          <w:rFonts w:ascii="Verdana" w:hAnsi="Verdana"/>
        </w:rPr>
      </w:pPr>
      <w:r w:rsidRPr="00117899">
        <w:rPr>
          <w:rFonts w:ascii="Verdana" w:hAnsi="Verdana"/>
        </w:rPr>
        <w:t>Would you confirm that the intention is to disclose only the 'Variation in Investments in unit–linked' in C0090/R0300?</w:t>
      </w:r>
    </w:p>
    <w:p w:rsidR="00D449D7" w:rsidRPr="00DE44D5" w:rsidRDefault="00D449D7" w:rsidP="00AA2B9D">
      <w:pPr>
        <w:pBdr>
          <w:top w:val="single" w:sz="4" w:space="1" w:color="auto"/>
          <w:left w:val="single" w:sz="4" w:space="4" w:color="auto"/>
          <w:bottom w:val="single" w:sz="4" w:space="1" w:color="auto"/>
          <w:right w:val="single" w:sz="4" w:space="4" w:color="auto"/>
        </w:pBdr>
        <w:jc w:val="both"/>
        <w:rPr>
          <w:rFonts w:ascii="Verdana" w:hAnsi="Verdana"/>
          <w:b/>
          <w:lang w:val="en-US"/>
        </w:rPr>
      </w:pPr>
      <w:r w:rsidRPr="00DE44D5">
        <w:rPr>
          <w:rFonts w:ascii="Verdana" w:hAnsi="Verdana"/>
          <w:b/>
          <w:lang w:val="en-US"/>
        </w:rPr>
        <w:t>Answer:</w:t>
      </w:r>
    </w:p>
    <w:p w:rsidR="00D449D7" w:rsidRDefault="00D449D7" w:rsidP="00AA2B9D">
      <w:pPr>
        <w:pBdr>
          <w:top w:val="single" w:sz="4" w:space="1" w:color="auto"/>
          <w:left w:val="single" w:sz="4" w:space="4" w:color="auto"/>
          <w:bottom w:val="single" w:sz="4" w:space="1" w:color="auto"/>
          <w:right w:val="single" w:sz="4" w:space="4" w:color="auto"/>
        </w:pBdr>
        <w:jc w:val="both"/>
        <w:rPr>
          <w:rFonts w:ascii="Verdana" w:hAnsi="Verdana"/>
          <w:b/>
          <w:lang w:val="en-US"/>
        </w:rPr>
      </w:pPr>
      <w:r w:rsidRPr="00E70D34">
        <w:rPr>
          <w:rFonts w:ascii="Verdana" w:hAnsi="Verdana"/>
          <w:lang w:val="en-US"/>
        </w:rPr>
        <w:t xml:space="preserve">In S.29.03.R0300 the net impact of the amount of the assets held by </w:t>
      </w:r>
      <w:r w:rsidR="002A3D11" w:rsidRPr="00BA2A0B">
        <w:rPr>
          <w:rFonts w:ascii="Verdana" w:hAnsi="Verdana"/>
          <w:lang w:val="en-US"/>
        </w:rPr>
        <w:t xml:space="preserve">index-linked </w:t>
      </w:r>
      <w:r w:rsidR="002A3D11">
        <w:rPr>
          <w:rFonts w:ascii="Verdana" w:hAnsi="Verdana"/>
          <w:lang w:val="en-US"/>
        </w:rPr>
        <w:t>and unit-linked</w:t>
      </w:r>
      <w:r w:rsidRPr="00E70D34">
        <w:rPr>
          <w:rFonts w:ascii="Verdana" w:hAnsi="Verdana"/>
          <w:lang w:val="en-US"/>
        </w:rPr>
        <w:t xml:space="preserve"> business and of Technical provisions – index-linked and unit-linked (calculated as best estimate and risk margin or calculate as a whole)</w:t>
      </w:r>
      <w:r w:rsidR="00AE3B9D">
        <w:rPr>
          <w:rFonts w:ascii="Verdana" w:hAnsi="Verdana"/>
          <w:lang w:val="en-US"/>
        </w:rPr>
        <w:t>, including the technical flows,</w:t>
      </w:r>
      <w:r w:rsidRPr="00E70D34">
        <w:rPr>
          <w:rFonts w:ascii="Verdana" w:hAnsi="Verdana"/>
          <w:lang w:val="en-US"/>
        </w:rPr>
        <w:t xml:space="preserve"> should be reported for information</w:t>
      </w:r>
      <w:r w:rsidR="00DE44D5">
        <w:rPr>
          <w:rFonts w:ascii="Verdana" w:hAnsi="Verdana"/>
          <w:lang w:val="en-US"/>
        </w:rPr>
        <w:t>.</w:t>
      </w:r>
    </w:p>
    <w:p w:rsidR="00D350CB" w:rsidRDefault="00D350CB" w:rsidP="00AA2B9D">
      <w:pPr>
        <w:pBdr>
          <w:top w:val="single" w:sz="4" w:space="1" w:color="auto"/>
          <w:left w:val="single" w:sz="4" w:space="4" w:color="auto"/>
          <w:bottom w:val="single" w:sz="4" w:space="1" w:color="auto"/>
          <w:right w:val="single" w:sz="4" w:space="4" w:color="auto"/>
        </w:pBdr>
        <w:jc w:val="both"/>
        <w:rPr>
          <w:rFonts w:ascii="Verdana" w:hAnsi="Verdana"/>
          <w:b/>
          <w:lang w:val="en-US"/>
        </w:rPr>
      </w:pPr>
      <w:r>
        <w:rPr>
          <w:rFonts w:ascii="Verdana" w:hAnsi="Verdana"/>
          <w:b/>
          <w:lang w:val="en-US"/>
        </w:rPr>
        <w:t>Q&amp;A 1461:</w:t>
      </w:r>
    </w:p>
    <w:p w:rsidR="00D350CB" w:rsidRPr="00117899" w:rsidRDefault="00D350CB" w:rsidP="00AA2B9D">
      <w:pPr>
        <w:pBdr>
          <w:top w:val="single" w:sz="4" w:space="1" w:color="auto"/>
          <w:left w:val="single" w:sz="4" w:space="4" w:color="auto"/>
          <w:bottom w:val="single" w:sz="4" w:space="1" w:color="auto"/>
          <w:right w:val="single" w:sz="4" w:space="4" w:color="auto"/>
        </w:pBdr>
        <w:jc w:val="both"/>
        <w:rPr>
          <w:rFonts w:ascii="Verdana" w:hAnsi="Verdana"/>
        </w:rPr>
      </w:pPr>
      <w:r w:rsidRPr="00117899">
        <w:rPr>
          <w:rFonts w:ascii="Verdana" w:hAnsi="Verdana"/>
        </w:rPr>
        <w:t>Should index-linked and unit-linked contracts be included in C0010/R0010-R0120 'Best Estimate' and C0030/R0130-R0140 'Reinsurance Recoverables'?</w:t>
      </w:r>
    </w:p>
    <w:p w:rsidR="00D350CB" w:rsidRDefault="008A3C51" w:rsidP="00AA2B9D">
      <w:pPr>
        <w:pBdr>
          <w:top w:val="single" w:sz="4" w:space="1" w:color="auto"/>
          <w:left w:val="single" w:sz="4" w:space="4" w:color="auto"/>
          <w:bottom w:val="single" w:sz="4" w:space="1" w:color="auto"/>
          <w:right w:val="single" w:sz="4" w:space="4" w:color="auto"/>
        </w:pBdr>
        <w:jc w:val="both"/>
        <w:rPr>
          <w:rFonts w:ascii="Verdana" w:hAnsi="Verdana"/>
          <w:b/>
          <w:lang w:val="en-US"/>
        </w:rPr>
      </w:pPr>
      <w:r>
        <w:rPr>
          <w:rFonts w:ascii="Verdana" w:hAnsi="Verdana"/>
          <w:b/>
          <w:lang w:val="en-US"/>
        </w:rPr>
        <w:t>Answer:</w:t>
      </w:r>
    </w:p>
    <w:p w:rsidR="008A3C51" w:rsidRPr="00117899" w:rsidRDefault="008A3C51" w:rsidP="00AA2B9D">
      <w:pPr>
        <w:pBdr>
          <w:top w:val="single" w:sz="4" w:space="1" w:color="auto"/>
          <w:left w:val="single" w:sz="4" w:space="4" w:color="auto"/>
          <w:bottom w:val="single" w:sz="4" w:space="1" w:color="auto"/>
          <w:right w:val="single" w:sz="4" w:space="4" w:color="auto"/>
        </w:pBdr>
        <w:jc w:val="both"/>
        <w:rPr>
          <w:rFonts w:ascii="Verdana" w:hAnsi="Verdana"/>
          <w:lang w:val="en-US"/>
        </w:rPr>
      </w:pPr>
      <w:r w:rsidRPr="00117899">
        <w:rPr>
          <w:rFonts w:ascii="Verdana" w:hAnsi="Verdana"/>
          <w:lang w:val="en-US"/>
        </w:rPr>
        <w:t xml:space="preserve">The </w:t>
      </w:r>
      <w:r w:rsidR="00A63A7D">
        <w:rPr>
          <w:rFonts w:ascii="Verdana" w:hAnsi="Verdana"/>
          <w:lang w:val="en-US"/>
        </w:rPr>
        <w:t>best estimate</w:t>
      </w:r>
      <w:r w:rsidRPr="00117899">
        <w:rPr>
          <w:rFonts w:ascii="Verdana" w:hAnsi="Verdana"/>
          <w:lang w:val="en-US"/>
        </w:rPr>
        <w:t xml:space="preserve"> related to </w:t>
      </w:r>
      <w:r w:rsidR="002A3D11" w:rsidRPr="00BA2A0B">
        <w:rPr>
          <w:rFonts w:ascii="Verdana" w:hAnsi="Verdana"/>
          <w:lang w:val="en-US"/>
        </w:rPr>
        <w:t xml:space="preserve">index-linked </w:t>
      </w:r>
      <w:r w:rsidR="002A3D11">
        <w:rPr>
          <w:rFonts w:ascii="Verdana" w:hAnsi="Verdana"/>
          <w:lang w:val="en-US"/>
        </w:rPr>
        <w:t xml:space="preserve">and unit-linked </w:t>
      </w:r>
      <w:r w:rsidRPr="00117899">
        <w:rPr>
          <w:rFonts w:ascii="Verdana" w:hAnsi="Verdana"/>
          <w:lang w:val="en-US"/>
        </w:rPr>
        <w:t>business should also be included in R0010 to R0290, preferably in R0010-R0140, i.e. by underwriting year.</w:t>
      </w:r>
      <w:r w:rsidR="003A5A6B">
        <w:rPr>
          <w:rFonts w:ascii="Verdana" w:hAnsi="Verdana"/>
          <w:lang w:val="en-US"/>
        </w:rPr>
        <w:t xml:space="preserve"> The same applies for reinsurance recoverables. </w:t>
      </w:r>
    </w:p>
    <w:p w:rsidR="00CD12FB" w:rsidRPr="005D495C" w:rsidRDefault="004E608F" w:rsidP="00AA2B9D">
      <w:pPr>
        <w:pBdr>
          <w:top w:val="single" w:sz="4" w:space="1" w:color="auto"/>
          <w:left w:val="single" w:sz="4" w:space="4" w:color="auto"/>
          <w:bottom w:val="single" w:sz="4" w:space="1" w:color="auto"/>
          <w:right w:val="single" w:sz="4" w:space="4" w:color="auto"/>
        </w:pBdr>
        <w:jc w:val="both"/>
        <w:rPr>
          <w:rFonts w:ascii="Verdana" w:hAnsi="Verdana"/>
          <w:b/>
          <w:lang w:val="en-US"/>
        </w:rPr>
      </w:pPr>
      <w:r>
        <w:rPr>
          <w:rFonts w:ascii="Verdana" w:hAnsi="Verdana"/>
          <w:b/>
          <w:lang w:val="en-US"/>
        </w:rPr>
        <w:t>Q&amp;A</w:t>
      </w:r>
      <w:r w:rsidR="00B56F8D">
        <w:rPr>
          <w:rFonts w:ascii="Verdana" w:hAnsi="Verdana"/>
          <w:b/>
          <w:lang w:val="en-US"/>
        </w:rPr>
        <w:t xml:space="preserve"> </w:t>
      </w:r>
      <w:r>
        <w:rPr>
          <w:rFonts w:ascii="Verdana" w:hAnsi="Verdana"/>
          <w:b/>
          <w:lang w:val="en-US"/>
        </w:rPr>
        <w:t>1285</w:t>
      </w:r>
      <w:r w:rsidR="00CD12FB" w:rsidRPr="005D495C">
        <w:rPr>
          <w:rFonts w:ascii="Verdana" w:hAnsi="Verdana"/>
          <w:b/>
          <w:lang w:val="en-US"/>
        </w:rPr>
        <w:t>:</w:t>
      </w:r>
    </w:p>
    <w:p w:rsidR="00CD12FB" w:rsidRPr="00393BBA" w:rsidRDefault="00CD12FB" w:rsidP="00AA2B9D">
      <w:pPr>
        <w:pBdr>
          <w:top w:val="single" w:sz="4" w:space="1" w:color="auto"/>
          <w:left w:val="single" w:sz="4" w:space="4" w:color="auto"/>
          <w:bottom w:val="single" w:sz="4" w:space="1" w:color="auto"/>
          <w:right w:val="single" w:sz="4" w:space="4" w:color="auto"/>
        </w:pBdr>
        <w:jc w:val="both"/>
        <w:rPr>
          <w:rFonts w:ascii="Verdana" w:hAnsi="Verdana"/>
          <w:lang w:val="en-GB"/>
        </w:rPr>
      </w:pPr>
      <w:r w:rsidRPr="00393BBA">
        <w:rPr>
          <w:rFonts w:ascii="Verdana" w:hAnsi="Verdana"/>
          <w:lang w:val="en-GB"/>
        </w:rPr>
        <w:t>We are seeking clarification on how/where to present movements in Technical Provisions as a Whole and Unitised Fund Values in order to ensure consistency between QRTs S.29.03.01 and S.29.04.01 as specified in the EIOPA validations.</w:t>
      </w:r>
      <w:r w:rsidRPr="00393BBA">
        <w:rPr>
          <w:rFonts w:ascii="Verdana" w:hAnsi="Verdana"/>
          <w:lang w:val="en-GB"/>
        </w:rPr>
        <w:br/>
      </w:r>
      <w:r w:rsidRPr="00393BBA">
        <w:rPr>
          <w:rFonts w:ascii="Verdana" w:hAnsi="Verdana"/>
          <w:lang w:val="en-GB"/>
        </w:rPr>
        <w:br/>
        <w:t>The Variation Analysis QRT S.29.03.01 and S.29.04.01 analyse the changes in excess of Assets over Liabilities due to Technical Provisions. Both of these QRTs explain the variation in Technical Provision broken down into its various components. Our approach is that all unitised funds on pure unit-linked business are considered Technical Provision as a Whole and hence the change in the Technical Provision as a Whole reflects a change in the value of the Unit Fund. No other elements contribute to Technical Provision as a Whole.</w:t>
      </w:r>
      <w:r w:rsidRPr="00393BBA">
        <w:rPr>
          <w:rFonts w:ascii="Verdana" w:hAnsi="Verdana"/>
          <w:lang w:val="en-GB"/>
        </w:rPr>
        <w:br/>
      </w:r>
      <w:r w:rsidRPr="00393BBA">
        <w:rPr>
          <w:rFonts w:ascii="Verdana" w:hAnsi="Verdana"/>
          <w:sz w:val="20"/>
          <w:szCs w:val="20"/>
          <w:lang w:val="en-GB"/>
        </w:rPr>
        <w:br/>
      </w:r>
      <w:r w:rsidRPr="00393BBA">
        <w:rPr>
          <w:rFonts w:ascii="Verdana" w:hAnsi="Verdana"/>
          <w:lang w:val="en-GB"/>
        </w:rPr>
        <w:t>Our interpretation of rows R0050 and R0060 in S.29.04.01 is therefore as follows:</w:t>
      </w:r>
      <w:r w:rsidRPr="00393BBA">
        <w:rPr>
          <w:rFonts w:ascii="Verdana" w:hAnsi="Verdana"/>
          <w:lang w:val="en-GB"/>
        </w:rPr>
        <w:br/>
        <w:t>• R0050 will show all variation in the unit fund and,</w:t>
      </w:r>
    </w:p>
    <w:p w:rsidR="00CD12FB" w:rsidRPr="00393BBA" w:rsidRDefault="00CD12FB" w:rsidP="00AA2B9D">
      <w:pPr>
        <w:pBdr>
          <w:top w:val="single" w:sz="4" w:space="1" w:color="auto"/>
          <w:left w:val="single" w:sz="4" w:space="4" w:color="auto"/>
          <w:bottom w:val="single" w:sz="4" w:space="1" w:color="auto"/>
          <w:right w:val="single" w:sz="4" w:space="4" w:color="auto"/>
        </w:pBdr>
        <w:jc w:val="both"/>
        <w:rPr>
          <w:rFonts w:ascii="Verdana" w:hAnsi="Verdana"/>
          <w:lang w:val="en-GB"/>
        </w:rPr>
      </w:pPr>
      <w:r w:rsidRPr="00393BBA">
        <w:rPr>
          <w:rFonts w:ascii="Verdana" w:hAnsi="Verdana"/>
          <w:lang w:val="en-GB"/>
        </w:rPr>
        <w:t>• R0060 will be zero</w:t>
      </w:r>
    </w:p>
    <w:p w:rsidR="00CD12FB" w:rsidRPr="00393BBA" w:rsidRDefault="00CD12FB" w:rsidP="00AA2B9D">
      <w:pPr>
        <w:pBdr>
          <w:top w:val="single" w:sz="4" w:space="1" w:color="auto"/>
          <w:left w:val="single" w:sz="4" w:space="4" w:color="auto"/>
          <w:bottom w:val="single" w:sz="4" w:space="1" w:color="auto"/>
          <w:right w:val="single" w:sz="4" w:space="4" w:color="auto"/>
        </w:pBdr>
        <w:jc w:val="both"/>
        <w:rPr>
          <w:rFonts w:ascii="Verdana" w:hAnsi="Verdana"/>
          <w:lang w:val="en-GB"/>
        </w:rPr>
      </w:pPr>
      <w:r w:rsidRPr="00393BBA">
        <w:rPr>
          <w:rFonts w:ascii="Verdana" w:hAnsi="Verdana"/>
          <w:lang w:val="en-GB"/>
        </w:rPr>
        <w:t>This will ensure that the Variation in Technical Provisions as a result of the variation in Technical Provision as a Whole (i.e. the unit fund) is only shown once. This will allow the Total (R0070) to reflect the net position of the above rows.</w:t>
      </w:r>
    </w:p>
    <w:p w:rsidR="00CD12FB" w:rsidRPr="00393BBA" w:rsidRDefault="00CD12FB" w:rsidP="00AA2B9D">
      <w:pPr>
        <w:pBdr>
          <w:top w:val="single" w:sz="4" w:space="1" w:color="auto"/>
          <w:left w:val="single" w:sz="4" w:space="4" w:color="auto"/>
          <w:bottom w:val="single" w:sz="4" w:space="1" w:color="auto"/>
          <w:right w:val="single" w:sz="4" w:space="4" w:color="auto"/>
        </w:pBdr>
        <w:jc w:val="both"/>
        <w:rPr>
          <w:rFonts w:ascii="Verdana" w:hAnsi="Verdana"/>
          <w:lang w:val="en-GB"/>
        </w:rPr>
      </w:pPr>
      <w:r w:rsidRPr="00393BBA">
        <w:rPr>
          <w:rFonts w:ascii="Verdana" w:hAnsi="Verdana"/>
          <w:lang w:val="en-GB"/>
        </w:rPr>
        <w:t>Do you agree with this presentation?</w:t>
      </w:r>
    </w:p>
    <w:p w:rsidR="00CD12FB" w:rsidRPr="00393BBA" w:rsidRDefault="00CD12FB" w:rsidP="00AA2B9D">
      <w:pPr>
        <w:pBdr>
          <w:top w:val="single" w:sz="4" w:space="1" w:color="auto"/>
          <w:left w:val="single" w:sz="4" w:space="4" w:color="auto"/>
          <w:bottom w:val="single" w:sz="4" w:space="1" w:color="auto"/>
          <w:right w:val="single" w:sz="4" w:space="4" w:color="auto"/>
        </w:pBdr>
        <w:jc w:val="both"/>
        <w:rPr>
          <w:rFonts w:ascii="Verdana" w:hAnsi="Verdana"/>
          <w:lang w:val="en-GB"/>
        </w:rPr>
      </w:pPr>
      <w:r w:rsidRPr="00393BBA">
        <w:rPr>
          <w:rFonts w:ascii="Verdana" w:hAnsi="Verdana"/>
          <w:lang w:val="en-GB"/>
        </w:rPr>
        <w:t xml:space="preserve">Similarly, our view is that S.29.03.01 R0300/C0090 should show the ‘Variation in investments in Unit-Linked’ which, in line with our methodology, would reflect the Variation in Technical Provision as a Whole. </w:t>
      </w:r>
    </w:p>
    <w:p w:rsidR="00CD12FB" w:rsidRPr="00393BBA" w:rsidRDefault="00CD12FB" w:rsidP="00AA2B9D">
      <w:pPr>
        <w:pBdr>
          <w:top w:val="single" w:sz="4" w:space="1" w:color="auto"/>
          <w:left w:val="single" w:sz="4" w:space="4" w:color="auto"/>
          <w:bottom w:val="single" w:sz="4" w:space="1" w:color="auto"/>
          <w:right w:val="single" w:sz="4" w:space="4" w:color="auto"/>
        </w:pBdr>
        <w:jc w:val="both"/>
        <w:rPr>
          <w:rFonts w:ascii="Verdana" w:hAnsi="Verdana"/>
          <w:lang w:val="en-GB"/>
        </w:rPr>
      </w:pPr>
      <w:r w:rsidRPr="00393BBA">
        <w:rPr>
          <w:rFonts w:ascii="Verdana" w:hAnsi="Verdana"/>
          <w:lang w:val="en-GB"/>
        </w:rPr>
        <w:t>The challenge to this approach arises when considering consistency between the two QRTs. It has been suggested to us that S.29.03.01 R0300/C0090 should equal the sum of S.29.04.01 R0060 across all lines of business. This would however result in the movement of Technical Provisions as a Whole not being reflected in S.29.03.01. Can you advise on how/where we should bring through movements in TP as a whole to ensure consistency between the two templates?</w:t>
      </w:r>
    </w:p>
    <w:p w:rsidR="00CD12FB" w:rsidRPr="00DE44D5" w:rsidRDefault="00CD12FB" w:rsidP="00AA2B9D">
      <w:pPr>
        <w:pBdr>
          <w:top w:val="single" w:sz="4" w:space="1" w:color="auto"/>
          <w:left w:val="single" w:sz="4" w:space="4" w:color="auto"/>
          <w:bottom w:val="single" w:sz="4" w:space="1" w:color="auto"/>
          <w:right w:val="single" w:sz="4" w:space="4" w:color="auto"/>
        </w:pBdr>
        <w:jc w:val="both"/>
        <w:rPr>
          <w:rFonts w:ascii="Verdana" w:hAnsi="Verdana"/>
          <w:b/>
          <w:lang w:val="en-US"/>
        </w:rPr>
      </w:pPr>
      <w:r w:rsidRPr="00393BBA">
        <w:rPr>
          <w:rFonts w:ascii="Verdana" w:hAnsi="Verdana"/>
          <w:lang w:val="en-GB"/>
        </w:rPr>
        <w:t xml:space="preserve">Note the above only refers to the Underwriting Year Approach as Accident Year is not </w:t>
      </w:r>
      <w:r w:rsidRPr="00DE44D5">
        <w:rPr>
          <w:rFonts w:ascii="Verdana" w:hAnsi="Verdana"/>
          <w:lang w:val="en-GB"/>
        </w:rPr>
        <w:t>applicable to our business.</w:t>
      </w:r>
    </w:p>
    <w:p w:rsidR="00CD12FB" w:rsidRPr="00DE44D5" w:rsidRDefault="00CD12FB" w:rsidP="00AA2B9D">
      <w:pPr>
        <w:pBdr>
          <w:top w:val="single" w:sz="4" w:space="1" w:color="auto"/>
          <w:left w:val="single" w:sz="4" w:space="4" w:color="auto"/>
          <w:bottom w:val="single" w:sz="4" w:space="1" w:color="auto"/>
          <w:right w:val="single" w:sz="4" w:space="4" w:color="auto"/>
        </w:pBdr>
        <w:jc w:val="both"/>
        <w:rPr>
          <w:rFonts w:ascii="Verdana" w:hAnsi="Verdana"/>
          <w:b/>
          <w:lang w:val="en-US"/>
        </w:rPr>
      </w:pPr>
      <w:r w:rsidRPr="00DE44D5">
        <w:rPr>
          <w:rFonts w:ascii="Verdana" w:hAnsi="Verdana"/>
          <w:b/>
          <w:lang w:val="en-US"/>
        </w:rPr>
        <w:t>Answer:</w:t>
      </w:r>
    </w:p>
    <w:p w:rsidR="00CD12FB" w:rsidRPr="00D56959" w:rsidRDefault="00CD12FB" w:rsidP="00AA2B9D">
      <w:pPr>
        <w:pBdr>
          <w:top w:val="single" w:sz="4" w:space="1" w:color="auto"/>
          <w:left w:val="single" w:sz="4" w:space="4" w:color="auto"/>
          <w:bottom w:val="single" w:sz="4" w:space="1" w:color="auto"/>
          <w:right w:val="single" w:sz="4" w:space="4" w:color="auto"/>
        </w:pBdr>
        <w:jc w:val="both"/>
        <w:rPr>
          <w:rFonts w:ascii="Verdana" w:hAnsi="Verdana"/>
          <w:lang w:val="en-US"/>
        </w:rPr>
      </w:pPr>
      <w:r w:rsidRPr="00D56959">
        <w:rPr>
          <w:rFonts w:ascii="Verdana" w:hAnsi="Verdana"/>
          <w:lang w:val="en-US"/>
        </w:rPr>
        <w:t>Regarding the treatment</w:t>
      </w:r>
      <w:r w:rsidRPr="005D495C">
        <w:rPr>
          <w:rFonts w:ascii="Verdana" w:hAnsi="Verdana"/>
          <w:lang w:val="en-US"/>
        </w:rPr>
        <w:t xml:space="preserve"> of </w:t>
      </w:r>
      <w:r w:rsidR="002A3D11" w:rsidRPr="00BA2A0B">
        <w:rPr>
          <w:rFonts w:ascii="Verdana" w:hAnsi="Verdana"/>
          <w:lang w:val="en-US"/>
        </w:rPr>
        <w:t xml:space="preserve">index-linked </w:t>
      </w:r>
      <w:r w:rsidR="002A3D11">
        <w:rPr>
          <w:rFonts w:ascii="Verdana" w:hAnsi="Verdana"/>
          <w:lang w:val="en-US"/>
        </w:rPr>
        <w:t xml:space="preserve">and unit-linked </w:t>
      </w:r>
      <w:r w:rsidRPr="00D56959">
        <w:rPr>
          <w:rFonts w:ascii="Verdana" w:hAnsi="Verdana"/>
          <w:lang w:val="en-US"/>
        </w:rPr>
        <w:t>business</w:t>
      </w:r>
      <w:r w:rsidR="00FD456C">
        <w:rPr>
          <w:rFonts w:ascii="Verdana" w:hAnsi="Verdana"/>
          <w:lang w:val="en-US"/>
        </w:rPr>
        <w:t>, regardless of how TP are calculated,</w:t>
      </w:r>
      <w:r w:rsidRPr="005D495C">
        <w:rPr>
          <w:rFonts w:ascii="Verdana" w:hAnsi="Verdana"/>
          <w:lang w:val="en-US"/>
        </w:rPr>
        <w:t xml:space="preserve"> please see previous question.</w:t>
      </w:r>
      <w:r w:rsidR="00FB09D1" w:rsidRPr="005D495C">
        <w:rPr>
          <w:rFonts w:ascii="Verdana" w:hAnsi="Verdana"/>
          <w:lang w:val="en-US"/>
        </w:rPr>
        <w:t xml:space="preserve"> </w:t>
      </w:r>
    </w:p>
    <w:p w:rsidR="00CD12FB" w:rsidRDefault="00CD12FB" w:rsidP="00AA2B9D">
      <w:pPr>
        <w:pBdr>
          <w:top w:val="single" w:sz="4" w:space="1" w:color="auto"/>
          <w:left w:val="single" w:sz="4" w:space="4" w:color="auto"/>
          <w:bottom w:val="single" w:sz="4" w:space="1" w:color="auto"/>
          <w:right w:val="single" w:sz="4" w:space="4" w:color="auto"/>
        </w:pBdr>
        <w:jc w:val="both"/>
        <w:rPr>
          <w:rFonts w:ascii="Verdana" w:hAnsi="Verdana"/>
          <w:lang w:val="en-US"/>
        </w:rPr>
      </w:pPr>
      <w:r w:rsidRPr="005D495C">
        <w:rPr>
          <w:rFonts w:ascii="Verdana" w:hAnsi="Verdana"/>
          <w:lang w:val="en-US"/>
        </w:rPr>
        <w:t>Regarding t</w:t>
      </w:r>
      <w:r w:rsidR="00F24AB4" w:rsidRPr="005D495C">
        <w:rPr>
          <w:rFonts w:ascii="Verdana" w:hAnsi="Verdana"/>
          <w:lang w:val="en-US"/>
        </w:rPr>
        <w:t>h</w:t>
      </w:r>
      <w:r w:rsidRPr="005D495C">
        <w:rPr>
          <w:rFonts w:ascii="Verdana" w:hAnsi="Verdana"/>
          <w:lang w:val="en-US"/>
        </w:rPr>
        <w:t>e contracts value</w:t>
      </w:r>
      <w:r w:rsidR="00E55FF0" w:rsidRPr="005D495C">
        <w:rPr>
          <w:rFonts w:ascii="Verdana" w:hAnsi="Verdana"/>
          <w:lang w:val="en-US"/>
        </w:rPr>
        <w:t>d</w:t>
      </w:r>
      <w:r w:rsidRPr="00D56959">
        <w:rPr>
          <w:rFonts w:ascii="Verdana" w:hAnsi="Verdana"/>
          <w:lang w:val="en-US"/>
        </w:rPr>
        <w:t xml:space="preserve"> as TP calculated as a whole</w:t>
      </w:r>
      <w:r w:rsidR="00F24AB4" w:rsidRPr="005D495C">
        <w:rPr>
          <w:rFonts w:ascii="Verdana" w:hAnsi="Verdana"/>
          <w:lang w:val="en-US"/>
        </w:rPr>
        <w:t xml:space="preserve"> </w:t>
      </w:r>
      <w:r w:rsidR="00FD456C">
        <w:rPr>
          <w:rFonts w:ascii="Verdana" w:hAnsi="Verdana"/>
          <w:lang w:val="en-US"/>
        </w:rPr>
        <w:t xml:space="preserve">(in the case you describe, your unit-linked business) </w:t>
      </w:r>
      <w:r w:rsidR="00F24AB4" w:rsidRPr="005D495C">
        <w:rPr>
          <w:rFonts w:ascii="Verdana" w:hAnsi="Verdana"/>
          <w:lang w:val="en-US"/>
        </w:rPr>
        <w:t xml:space="preserve">the main table </w:t>
      </w:r>
      <w:r w:rsidR="007646CE" w:rsidRPr="005D495C">
        <w:rPr>
          <w:rFonts w:ascii="Verdana" w:hAnsi="Verdana"/>
          <w:lang w:val="en-US"/>
        </w:rPr>
        <w:t xml:space="preserve">in S.29.03 </w:t>
      </w:r>
      <w:r w:rsidR="00F24AB4" w:rsidRPr="005D495C">
        <w:rPr>
          <w:rFonts w:ascii="Verdana" w:hAnsi="Verdana"/>
          <w:lang w:val="en-US"/>
        </w:rPr>
        <w:t>(from R0010 to R0290) reflects only amounts related to best estimate, i.e. it does not include the risk margin, technical provisions calculated as a whole nor the transitional measure on Technical Provisions. However, in R0360 the amount refers to technical provisions</w:t>
      </w:r>
      <w:r w:rsidR="00E55FF0" w:rsidRPr="005D495C">
        <w:rPr>
          <w:rFonts w:ascii="Verdana" w:hAnsi="Verdana"/>
          <w:lang w:val="en-US"/>
        </w:rPr>
        <w:t xml:space="preserve"> (i.e.</w:t>
      </w:r>
      <w:r w:rsidR="00F24AB4" w:rsidRPr="00D56959">
        <w:rPr>
          <w:rFonts w:ascii="Verdana" w:hAnsi="Verdana"/>
          <w:lang w:val="en-US"/>
        </w:rPr>
        <w:t xml:space="preserve"> </w:t>
      </w:r>
      <w:r w:rsidR="00F24AB4" w:rsidRPr="005D495C">
        <w:rPr>
          <w:rFonts w:ascii="Verdana" w:hAnsi="Verdana"/>
          <w:lang w:val="en-US"/>
        </w:rPr>
        <w:t>including best estimate, risk margin</w:t>
      </w:r>
      <w:r w:rsidR="00E55FF0" w:rsidRPr="005D495C">
        <w:rPr>
          <w:rFonts w:ascii="Verdana" w:hAnsi="Verdana"/>
          <w:lang w:val="en-US"/>
        </w:rPr>
        <w:t xml:space="preserve">, </w:t>
      </w:r>
      <w:r w:rsidR="00F24AB4" w:rsidRPr="005D495C">
        <w:rPr>
          <w:rFonts w:ascii="Verdana" w:hAnsi="Verdana"/>
          <w:lang w:val="en-US"/>
        </w:rPr>
        <w:t>technical provisions calculated as a whole and the transitional measure on Technical Provisions</w:t>
      </w:r>
      <w:r w:rsidR="00E55FF0" w:rsidRPr="005D495C">
        <w:rPr>
          <w:rFonts w:ascii="Verdana" w:hAnsi="Verdana"/>
          <w:lang w:val="en-US"/>
        </w:rPr>
        <w:t>)</w:t>
      </w:r>
      <w:r w:rsidR="00F24AB4" w:rsidRPr="00D56959">
        <w:rPr>
          <w:rFonts w:ascii="Verdana" w:hAnsi="Verdana"/>
          <w:lang w:val="en-US"/>
        </w:rPr>
        <w:t>.</w:t>
      </w:r>
      <w:r w:rsidR="00A31DD7">
        <w:rPr>
          <w:rFonts w:ascii="Verdana" w:hAnsi="Verdana"/>
          <w:lang w:val="en-US"/>
        </w:rPr>
        <w:t xml:space="preserve"> In this case R0360 would be the only one where the </w:t>
      </w:r>
      <w:r w:rsidR="002A3D11" w:rsidRPr="00BA2A0B">
        <w:rPr>
          <w:rFonts w:ascii="Verdana" w:hAnsi="Verdana"/>
          <w:lang w:val="en-US"/>
        </w:rPr>
        <w:t xml:space="preserve">index-linked </w:t>
      </w:r>
      <w:r w:rsidR="002A3D11">
        <w:rPr>
          <w:rFonts w:ascii="Verdana" w:hAnsi="Verdana"/>
          <w:lang w:val="en-US"/>
        </w:rPr>
        <w:t xml:space="preserve">and unit-linked </w:t>
      </w:r>
      <w:r w:rsidR="00A31DD7">
        <w:rPr>
          <w:rFonts w:ascii="Verdana" w:hAnsi="Verdana"/>
          <w:lang w:val="en-US"/>
        </w:rPr>
        <w:t xml:space="preserve">business technical provisions which is calculated as TP as a whole would be reported. Please note that in any case the technical flows related to </w:t>
      </w:r>
      <w:r w:rsidR="002A3D11" w:rsidRPr="00BA2A0B">
        <w:rPr>
          <w:rFonts w:ascii="Verdana" w:hAnsi="Verdana"/>
          <w:lang w:val="en-US"/>
        </w:rPr>
        <w:t xml:space="preserve">index-linked </w:t>
      </w:r>
      <w:r w:rsidR="002A3D11">
        <w:rPr>
          <w:rFonts w:ascii="Verdana" w:hAnsi="Verdana"/>
          <w:lang w:val="en-US"/>
        </w:rPr>
        <w:t xml:space="preserve">and unit-linked </w:t>
      </w:r>
      <w:r w:rsidR="00A31DD7">
        <w:rPr>
          <w:rFonts w:ascii="Verdana" w:hAnsi="Verdana"/>
          <w:lang w:val="en-US"/>
        </w:rPr>
        <w:t xml:space="preserve">business should be reported in S.29.01.R0310 to R0350. </w:t>
      </w:r>
    </w:p>
    <w:p w:rsidR="00FB09D1" w:rsidRPr="00AE3B9D" w:rsidRDefault="00AE3B9D" w:rsidP="00AA2B9D">
      <w:pPr>
        <w:pBdr>
          <w:top w:val="single" w:sz="4" w:space="1" w:color="auto"/>
          <w:left w:val="single" w:sz="4" w:space="4" w:color="auto"/>
          <w:bottom w:val="single" w:sz="4" w:space="1" w:color="auto"/>
          <w:right w:val="single" w:sz="4" w:space="4" w:color="auto"/>
        </w:pBdr>
        <w:jc w:val="both"/>
        <w:rPr>
          <w:rFonts w:ascii="Verdana" w:hAnsi="Verdana"/>
          <w:lang w:val="en-US"/>
        </w:rPr>
      </w:pPr>
      <w:r>
        <w:rPr>
          <w:rFonts w:ascii="Verdana" w:hAnsi="Verdana"/>
          <w:lang w:val="en-US"/>
        </w:rPr>
        <w:t xml:space="preserve">In S.29.04.R0060 and R0130, as stated above, the </w:t>
      </w:r>
      <w:r w:rsidRPr="00FC341C">
        <w:rPr>
          <w:rFonts w:ascii="Verdana" w:hAnsi="Verdana"/>
          <w:lang w:val="en-US"/>
        </w:rPr>
        <w:t>net impact of th</w:t>
      </w:r>
      <w:r w:rsidRPr="008C6B68">
        <w:rPr>
          <w:rFonts w:ascii="Verdana" w:hAnsi="Verdana"/>
          <w:lang w:val="en-US"/>
        </w:rPr>
        <w:t xml:space="preserve">e amount of the </w:t>
      </w:r>
      <w:r w:rsidRPr="00FC341C">
        <w:rPr>
          <w:rFonts w:ascii="Verdana" w:hAnsi="Verdana"/>
          <w:lang w:val="en-US"/>
        </w:rPr>
        <w:t>a</w:t>
      </w:r>
      <w:r w:rsidRPr="008C6B68">
        <w:rPr>
          <w:rFonts w:ascii="Verdana" w:hAnsi="Verdana"/>
          <w:lang w:val="en-US"/>
        </w:rPr>
        <w:t xml:space="preserve">ssets held by </w:t>
      </w:r>
      <w:r w:rsidR="002A3D11" w:rsidRPr="00BA2A0B">
        <w:rPr>
          <w:rFonts w:ascii="Verdana" w:hAnsi="Verdana"/>
          <w:lang w:val="en-US"/>
        </w:rPr>
        <w:t xml:space="preserve">index-linked </w:t>
      </w:r>
      <w:r w:rsidR="002A3D11">
        <w:rPr>
          <w:rFonts w:ascii="Verdana" w:hAnsi="Verdana"/>
          <w:lang w:val="en-US"/>
        </w:rPr>
        <w:t xml:space="preserve">and unit-linked </w:t>
      </w:r>
      <w:r w:rsidRPr="008C6B68">
        <w:rPr>
          <w:rFonts w:ascii="Verdana" w:hAnsi="Verdana"/>
          <w:lang w:val="en-US"/>
        </w:rPr>
        <w:t xml:space="preserve">business </w:t>
      </w:r>
      <w:r w:rsidRPr="00FC341C">
        <w:rPr>
          <w:rFonts w:ascii="Verdana" w:hAnsi="Verdana"/>
          <w:lang w:val="en-US"/>
        </w:rPr>
        <w:t xml:space="preserve">and of </w:t>
      </w:r>
      <w:r w:rsidRPr="008C6B68">
        <w:rPr>
          <w:rFonts w:ascii="Verdana" w:hAnsi="Verdana"/>
          <w:lang w:val="en-US"/>
        </w:rPr>
        <w:t xml:space="preserve">Technical provisions – index-linked and unit-linked </w:t>
      </w:r>
      <w:r w:rsidRPr="00FC341C">
        <w:rPr>
          <w:rFonts w:ascii="Verdana" w:hAnsi="Verdana"/>
          <w:lang w:val="en-US"/>
        </w:rPr>
        <w:t>(calculated as best estimate and risk margin or calculate as a whole)</w:t>
      </w:r>
      <w:r>
        <w:rPr>
          <w:rFonts w:ascii="Verdana" w:hAnsi="Verdana"/>
          <w:lang w:val="en-US"/>
        </w:rPr>
        <w:t>, including the technical flows,</w:t>
      </w:r>
      <w:r w:rsidRPr="00FC341C">
        <w:rPr>
          <w:rFonts w:ascii="Verdana" w:hAnsi="Verdana"/>
          <w:lang w:val="en-US"/>
        </w:rPr>
        <w:t xml:space="preserve"> should be reported </w:t>
      </w:r>
      <w:r>
        <w:rPr>
          <w:rFonts w:ascii="Verdana" w:hAnsi="Verdana"/>
          <w:lang w:val="en-US"/>
        </w:rPr>
        <w:t xml:space="preserve">split by periods </w:t>
      </w:r>
      <w:r w:rsidRPr="00FC341C">
        <w:rPr>
          <w:rFonts w:ascii="Verdana" w:hAnsi="Verdana"/>
          <w:lang w:val="en-US"/>
        </w:rPr>
        <w:t>for information</w:t>
      </w:r>
      <w:r>
        <w:rPr>
          <w:rFonts w:ascii="Verdana" w:hAnsi="Verdana"/>
          <w:lang w:val="en-US"/>
        </w:rPr>
        <w:t xml:space="preserve"> (same value as in S.29.03.R0300</w:t>
      </w:r>
      <w:r w:rsidRPr="00AE3B9D">
        <w:rPr>
          <w:rFonts w:ascii="Verdana" w:hAnsi="Verdana"/>
          <w:lang w:val="en-US"/>
        </w:rPr>
        <w:t>)</w:t>
      </w:r>
      <w:r w:rsidR="00FB09D1" w:rsidRPr="00AE3B9D">
        <w:rPr>
          <w:rFonts w:ascii="Verdana" w:hAnsi="Verdana"/>
          <w:lang w:val="en-US"/>
        </w:rPr>
        <w:t>.</w:t>
      </w:r>
    </w:p>
    <w:p w:rsidR="00D449D7" w:rsidRPr="00DE44D5" w:rsidRDefault="00D449D7" w:rsidP="00AA2B9D">
      <w:pPr>
        <w:pBdr>
          <w:top w:val="single" w:sz="4" w:space="1" w:color="auto"/>
          <w:left w:val="single" w:sz="4" w:space="4" w:color="auto"/>
          <w:bottom w:val="single" w:sz="4" w:space="1" w:color="auto"/>
          <w:right w:val="single" w:sz="4" w:space="4" w:color="auto"/>
        </w:pBdr>
        <w:jc w:val="both"/>
        <w:rPr>
          <w:rFonts w:ascii="Verdana" w:hAnsi="Verdana"/>
          <w:b/>
          <w:lang w:val="en-US"/>
        </w:rPr>
      </w:pPr>
      <w:r w:rsidRPr="00DE44D5">
        <w:rPr>
          <w:rFonts w:ascii="Verdana" w:hAnsi="Verdana"/>
          <w:b/>
          <w:lang w:val="en-US"/>
        </w:rPr>
        <w:t>Q&amp;A 1378:</w:t>
      </w:r>
    </w:p>
    <w:p w:rsidR="00D449D7" w:rsidRPr="00117899" w:rsidRDefault="00D449D7" w:rsidP="00AA2B9D">
      <w:pPr>
        <w:pBdr>
          <w:top w:val="single" w:sz="4" w:space="1" w:color="auto"/>
          <w:left w:val="single" w:sz="4" w:space="4" w:color="auto"/>
          <w:bottom w:val="single" w:sz="4" w:space="1" w:color="auto"/>
          <w:right w:val="single" w:sz="4" w:space="4" w:color="auto"/>
        </w:pBdr>
        <w:jc w:val="both"/>
        <w:rPr>
          <w:rFonts w:ascii="Verdana" w:hAnsi="Verdana"/>
        </w:rPr>
      </w:pPr>
      <w:r w:rsidRPr="00117899">
        <w:rPr>
          <w:rFonts w:ascii="Verdana" w:hAnsi="Verdana"/>
        </w:rPr>
        <w:t>How to undestand "Variation in investment in UL" R0300? For eg, for a new UL contract with written premiums of 100Euro, say UL fund investment of 100Euro too and assume no change in financial market till year end. So BEL increases by 100Euro and the same for "variation in investments in UL".</w:t>
      </w:r>
      <w:r w:rsidRPr="00117899">
        <w:rPr>
          <w:rFonts w:ascii="Verdana" w:hAnsi="Verdana"/>
        </w:rPr>
        <w:br/>
        <w:t>Then the total impact to R0360 due to this contract would be (-delta BEL - variations in investment in UL + technical flows)=-100-100+100=-100, which does not seem to be right. Is that what is expected? Perhaps somewhere else in S.29.01, there is another positive item with +100?</w:t>
      </w:r>
    </w:p>
    <w:p w:rsidR="00D449D7" w:rsidRPr="00117899" w:rsidRDefault="00D449D7" w:rsidP="00AA2B9D">
      <w:pPr>
        <w:pBdr>
          <w:top w:val="single" w:sz="4" w:space="1" w:color="auto"/>
          <w:left w:val="single" w:sz="4" w:space="4" w:color="auto"/>
          <w:bottom w:val="single" w:sz="4" w:space="1" w:color="auto"/>
          <w:right w:val="single" w:sz="4" w:space="4" w:color="auto"/>
        </w:pBdr>
        <w:jc w:val="both"/>
        <w:rPr>
          <w:rFonts w:ascii="Verdana" w:hAnsi="Verdana"/>
          <w:b/>
          <w:lang w:val="en-US"/>
        </w:rPr>
      </w:pPr>
      <w:r w:rsidRPr="00117899">
        <w:rPr>
          <w:rFonts w:ascii="Verdana" w:hAnsi="Verdana"/>
          <w:b/>
          <w:lang w:val="en-US"/>
        </w:rPr>
        <w:t>Answer:</w:t>
      </w:r>
    </w:p>
    <w:p w:rsidR="00D449D7" w:rsidRDefault="00D449D7" w:rsidP="00AA2B9D">
      <w:pPr>
        <w:pBdr>
          <w:top w:val="single" w:sz="4" w:space="1" w:color="auto"/>
          <w:left w:val="single" w:sz="4" w:space="4" w:color="auto"/>
          <w:bottom w:val="single" w:sz="4" w:space="1" w:color="auto"/>
          <w:right w:val="single" w:sz="4" w:space="4" w:color="auto"/>
        </w:pBdr>
        <w:jc w:val="both"/>
        <w:rPr>
          <w:rFonts w:ascii="Verdana" w:hAnsi="Verdana"/>
          <w:lang w:val="en-US"/>
        </w:rPr>
      </w:pPr>
      <w:r w:rsidRPr="00FC341C">
        <w:rPr>
          <w:rFonts w:ascii="Verdana" w:hAnsi="Verdana"/>
          <w:lang w:val="en-US"/>
        </w:rPr>
        <w:t>In S.29.03.R0300 the net impact of th</w:t>
      </w:r>
      <w:r w:rsidRPr="008C6B68">
        <w:rPr>
          <w:rFonts w:ascii="Verdana" w:hAnsi="Verdana"/>
          <w:lang w:val="en-US"/>
        </w:rPr>
        <w:t xml:space="preserve">e amount of the </w:t>
      </w:r>
      <w:r w:rsidRPr="00FC341C">
        <w:rPr>
          <w:rFonts w:ascii="Verdana" w:hAnsi="Verdana"/>
          <w:lang w:val="en-US"/>
        </w:rPr>
        <w:t>a</w:t>
      </w:r>
      <w:r w:rsidRPr="008C6B68">
        <w:rPr>
          <w:rFonts w:ascii="Verdana" w:hAnsi="Verdana"/>
          <w:lang w:val="en-US"/>
        </w:rPr>
        <w:t xml:space="preserve">ssets held by </w:t>
      </w:r>
      <w:r w:rsidR="002A3D11" w:rsidRPr="00BA2A0B">
        <w:rPr>
          <w:rFonts w:ascii="Verdana" w:hAnsi="Verdana"/>
          <w:lang w:val="en-US"/>
        </w:rPr>
        <w:t xml:space="preserve">index-linked </w:t>
      </w:r>
      <w:r w:rsidR="002A3D11">
        <w:rPr>
          <w:rFonts w:ascii="Verdana" w:hAnsi="Verdana"/>
          <w:lang w:val="en-US"/>
        </w:rPr>
        <w:t>and unit-linked</w:t>
      </w:r>
      <w:r w:rsidRPr="008C6B68">
        <w:rPr>
          <w:rFonts w:ascii="Verdana" w:hAnsi="Verdana"/>
          <w:lang w:val="en-US"/>
        </w:rPr>
        <w:t xml:space="preserve"> business </w:t>
      </w:r>
      <w:r w:rsidRPr="00FC341C">
        <w:rPr>
          <w:rFonts w:ascii="Verdana" w:hAnsi="Verdana"/>
          <w:lang w:val="en-US"/>
        </w:rPr>
        <w:t xml:space="preserve">and of </w:t>
      </w:r>
      <w:r w:rsidRPr="008C6B68">
        <w:rPr>
          <w:rFonts w:ascii="Verdana" w:hAnsi="Verdana"/>
          <w:lang w:val="en-US"/>
        </w:rPr>
        <w:t xml:space="preserve">Technical provisions – index-linked and unit-linked </w:t>
      </w:r>
      <w:r w:rsidRPr="00FC341C">
        <w:rPr>
          <w:rFonts w:ascii="Verdana" w:hAnsi="Verdana"/>
          <w:lang w:val="en-US"/>
        </w:rPr>
        <w:t>(calculated as best estimate and risk margin or calculate as a whole) should be reported for information</w:t>
      </w:r>
      <w:r>
        <w:rPr>
          <w:rFonts w:ascii="Verdana" w:hAnsi="Verdana"/>
          <w:lang w:val="en-US"/>
        </w:rPr>
        <w:t>.</w:t>
      </w:r>
    </w:p>
    <w:p w:rsidR="00D449D7" w:rsidRDefault="00D449D7" w:rsidP="00AA2B9D">
      <w:pPr>
        <w:pBdr>
          <w:top w:val="single" w:sz="4" w:space="1" w:color="auto"/>
          <w:left w:val="single" w:sz="4" w:space="4" w:color="auto"/>
          <w:bottom w:val="single" w:sz="4" w:space="1" w:color="auto"/>
          <w:right w:val="single" w:sz="4" w:space="4" w:color="auto"/>
        </w:pBdr>
        <w:jc w:val="both"/>
        <w:rPr>
          <w:rFonts w:ascii="Verdana" w:hAnsi="Verdana"/>
          <w:lang w:val="en-US"/>
        </w:rPr>
      </w:pPr>
      <w:r>
        <w:rPr>
          <w:rFonts w:ascii="Verdana" w:hAnsi="Verdana"/>
          <w:lang w:val="en-US"/>
        </w:rPr>
        <w:t>In</w:t>
      </w:r>
      <w:r w:rsidRPr="007853BA">
        <w:rPr>
          <w:rFonts w:ascii="Verdana" w:hAnsi="Verdana"/>
          <w:lang w:val="en-US"/>
        </w:rPr>
        <w:t xml:space="preserve"> the technical flows </w:t>
      </w:r>
      <w:r w:rsidRPr="007140FC">
        <w:rPr>
          <w:rFonts w:ascii="Verdana" w:hAnsi="Verdana"/>
          <w:lang w:val="en-US"/>
        </w:rPr>
        <w:t xml:space="preserve">affecting technical provisions but that are not reflected in the best </w:t>
      </w:r>
      <w:r w:rsidRPr="0054615F">
        <w:rPr>
          <w:rFonts w:ascii="Verdana" w:hAnsi="Verdana"/>
          <w:lang w:val="en-US"/>
        </w:rPr>
        <w:t>estimate</w:t>
      </w:r>
      <w:r>
        <w:rPr>
          <w:rFonts w:ascii="Verdana" w:hAnsi="Verdana"/>
          <w:lang w:val="en-US"/>
        </w:rPr>
        <w:t>, the</w:t>
      </w:r>
      <w:r w:rsidRPr="0054615F">
        <w:rPr>
          <w:rFonts w:ascii="Verdana" w:hAnsi="Verdana"/>
          <w:lang w:val="en-US"/>
        </w:rPr>
        <w:t xml:space="preserve"> amounts should include the technical flows related to </w:t>
      </w:r>
      <w:r w:rsidR="002A3D11" w:rsidRPr="00BA2A0B">
        <w:rPr>
          <w:rFonts w:ascii="Verdana" w:hAnsi="Verdana"/>
          <w:lang w:val="en-US"/>
        </w:rPr>
        <w:t xml:space="preserve">index-linked </w:t>
      </w:r>
      <w:r w:rsidR="002A3D11">
        <w:rPr>
          <w:rFonts w:ascii="Verdana" w:hAnsi="Verdana"/>
          <w:lang w:val="en-US"/>
        </w:rPr>
        <w:t>and unit-linked</w:t>
      </w:r>
      <w:r>
        <w:rPr>
          <w:rFonts w:ascii="Verdana" w:hAnsi="Verdana"/>
          <w:lang w:val="en-US"/>
        </w:rPr>
        <w:t>.</w:t>
      </w:r>
      <w:r w:rsidR="00C10223">
        <w:rPr>
          <w:rFonts w:ascii="Verdana" w:hAnsi="Verdana"/>
          <w:lang w:val="en-US"/>
        </w:rPr>
        <w:t xml:space="preserve"> So, the amount should be calculated as </w:t>
      </w:r>
      <w:r w:rsidR="00C10223" w:rsidRPr="00DE44D5">
        <w:rPr>
          <w:rFonts w:ascii="Verdana" w:hAnsi="Verdana"/>
          <w:lang w:val="en-US"/>
        </w:rPr>
        <w:t>(- variations in investment in UL + technical flows)= -100+100=0, because delta BEL = 0 in this case because it is reflected in the closing BE.</w:t>
      </w:r>
    </w:p>
    <w:p w:rsidR="00DD4C63" w:rsidRPr="00117899" w:rsidRDefault="00DD4C63" w:rsidP="00AA2B9D">
      <w:pPr>
        <w:pBdr>
          <w:top w:val="single" w:sz="4" w:space="1" w:color="auto"/>
          <w:left w:val="single" w:sz="4" w:space="4" w:color="auto"/>
          <w:bottom w:val="single" w:sz="4" w:space="1" w:color="auto"/>
          <w:right w:val="single" w:sz="4" w:space="4" w:color="auto"/>
        </w:pBdr>
        <w:jc w:val="both"/>
        <w:rPr>
          <w:rFonts w:ascii="Verdana" w:hAnsi="Verdana"/>
          <w:b/>
          <w:lang w:val="en-US"/>
        </w:rPr>
      </w:pPr>
      <w:r w:rsidRPr="00117899">
        <w:rPr>
          <w:rFonts w:ascii="Verdana" w:hAnsi="Verdana"/>
          <w:b/>
          <w:lang w:val="en-US"/>
        </w:rPr>
        <w:t>Q&amp;A</w:t>
      </w:r>
      <w:r w:rsidR="00B56F8D">
        <w:rPr>
          <w:rFonts w:ascii="Verdana" w:hAnsi="Verdana"/>
          <w:b/>
          <w:lang w:val="en-US"/>
        </w:rPr>
        <w:t xml:space="preserve"> </w:t>
      </w:r>
      <w:r w:rsidRPr="00117899">
        <w:rPr>
          <w:rFonts w:ascii="Verdana" w:hAnsi="Verdana"/>
          <w:b/>
          <w:lang w:val="en-US"/>
        </w:rPr>
        <w:t>1397:</w:t>
      </w:r>
    </w:p>
    <w:p w:rsidR="00DD4C63" w:rsidRPr="00117899" w:rsidRDefault="00DD4C63" w:rsidP="00AA2B9D">
      <w:pPr>
        <w:pBdr>
          <w:top w:val="single" w:sz="4" w:space="1" w:color="auto"/>
          <w:left w:val="single" w:sz="4" w:space="4" w:color="auto"/>
          <w:bottom w:val="single" w:sz="4" w:space="1" w:color="auto"/>
          <w:right w:val="single" w:sz="4" w:space="4" w:color="auto"/>
        </w:pBdr>
        <w:jc w:val="both"/>
        <w:rPr>
          <w:rFonts w:ascii="Verdana" w:hAnsi="Verdana"/>
        </w:rPr>
      </w:pPr>
      <w:r w:rsidRPr="00117899">
        <w:rPr>
          <w:rFonts w:ascii="Verdana" w:hAnsi="Verdana"/>
        </w:rPr>
        <w:t>It appears that Technical flows i.e. "Premium Written during the period", "Claims and Benefits during the period", "Expenses (excluding investment expenses" and "Technical flows related to reinsurance during the period" as reported in S.29.03 are based on actual receipt and payments in cash during the reporting period. Since Technical Provisions are based on future/projected cashflows therefore, it will not be possible for actual cash payments and receipts during the reporting period to be used in Technical Provisions other than to revise the estimate of projected cashflows. Can you please confirm if our understanding is correct?</w:t>
      </w:r>
    </w:p>
    <w:p w:rsidR="00DD4C63" w:rsidRPr="00117899" w:rsidRDefault="00DD4C63" w:rsidP="00AA2B9D">
      <w:pPr>
        <w:pBdr>
          <w:top w:val="single" w:sz="4" w:space="1" w:color="auto"/>
          <w:left w:val="single" w:sz="4" w:space="4" w:color="auto"/>
          <w:bottom w:val="single" w:sz="4" w:space="1" w:color="auto"/>
          <w:right w:val="single" w:sz="4" w:space="4" w:color="auto"/>
        </w:pBdr>
        <w:jc w:val="both"/>
        <w:rPr>
          <w:rFonts w:ascii="Verdana" w:hAnsi="Verdana"/>
          <w:b/>
          <w:lang w:val="en-US"/>
        </w:rPr>
      </w:pPr>
      <w:r w:rsidRPr="00117899">
        <w:rPr>
          <w:rFonts w:ascii="Verdana" w:hAnsi="Verdana"/>
          <w:b/>
          <w:lang w:val="en-US"/>
        </w:rPr>
        <w:t>Answer:</w:t>
      </w:r>
    </w:p>
    <w:p w:rsidR="00DD4C63" w:rsidRPr="00215231" w:rsidRDefault="00324385" w:rsidP="00AA2B9D">
      <w:pPr>
        <w:pBdr>
          <w:top w:val="single" w:sz="4" w:space="1" w:color="auto"/>
          <w:left w:val="single" w:sz="4" w:space="4" w:color="auto"/>
          <w:bottom w:val="single" w:sz="4" w:space="1" w:color="auto"/>
          <w:right w:val="single" w:sz="4" w:space="4" w:color="auto"/>
        </w:pBdr>
        <w:jc w:val="both"/>
        <w:rPr>
          <w:rFonts w:ascii="Verdana" w:hAnsi="Verdana"/>
          <w:lang w:val="en-US"/>
        </w:rPr>
      </w:pPr>
      <w:r>
        <w:rPr>
          <w:rFonts w:ascii="Verdana" w:hAnsi="Verdana"/>
          <w:lang w:val="en-US"/>
        </w:rPr>
        <w:t xml:space="preserve">Your understanding </w:t>
      </w:r>
      <w:r w:rsidRPr="00215231">
        <w:rPr>
          <w:rFonts w:ascii="Verdana" w:hAnsi="Verdana"/>
          <w:lang w:val="en-US"/>
        </w:rPr>
        <w:t>is correct</w:t>
      </w:r>
      <w:r w:rsidR="00DD4C63" w:rsidRPr="00215231">
        <w:rPr>
          <w:rFonts w:ascii="Verdana" w:hAnsi="Verdana"/>
          <w:lang w:val="en-US"/>
        </w:rPr>
        <w:t xml:space="preserve">. </w:t>
      </w:r>
      <w:r w:rsidR="0023147D" w:rsidRPr="00215231">
        <w:rPr>
          <w:rFonts w:ascii="Verdana" w:hAnsi="Verdana"/>
          <w:lang w:val="en-US"/>
        </w:rPr>
        <w:t xml:space="preserve">However, please note that regarding the premiums the written premiums during the period (premiums actually due to be received in that year) should be reported.  </w:t>
      </w:r>
    </w:p>
    <w:p w:rsidR="00D449D7" w:rsidRPr="00117899" w:rsidRDefault="00646317" w:rsidP="00AA2B9D">
      <w:pPr>
        <w:pBdr>
          <w:top w:val="single" w:sz="4" w:space="1" w:color="auto"/>
          <w:left w:val="single" w:sz="4" w:space="4" w:color="auto"/>
          <w:bottom w:val="single" w:sz="4" w:space="1" w:color="auto"/>
          <w:right w:val="single" w:sz="4" w:space="4" w:color="auto"/>
        </w:pBdr>
        <w:jc w:val="both"/>
        <w:rPr>
          <w:rFonts w:ascii="Verdana" w:hAnsi="Verdana"/>
          <w:b/>
          <w:lang w:val="en-US"/>
        </w:rPr>
      </w:pPr>
      <w:r w:rsidRPr="00117899">
        <w:rPr>
          <w:rFonts w:ascii="Verdana" w:hAnsi="Verdana"/>
          <w:b/>
          <w:lang w:val="en-US"/>
        </w:rPr>
        <w:t>Q&amp;A</w:t>
      </w:r>
      <w:r w:rsidR="00B56F8D">
        <w:rPr>
          <w:rFonts w:ascii="Verdana" w:hAnsi="Verdana"/>
          <w:b/>
          <w:lang w:val="en-US"/>
        </w:rPr>
        <w:t xml:space="preserve"> </w:t>
      </w:r>
      <w:r w:rsidRPr="00117899">
        <w:rPr>
          <w:rFonts w:ascii="Verdana" w:hAnsi="Verdana"/>
          <w:b/>
          <w:lang w:val="en-US"/>
        </w:rPr>
        <w:t>1458:</w:t>
      </w:r>
    </w:p>
    <w:p w:rsidR="00646317" w:rsidRPr="00117899" w:rsidRDefault="00646317" w:rsidP="00AA2B9D">
      <w:pPr>
        <w:pBdr>
          <w:top w:val="single" w:sz="4" w:space="1" w:color="auto"/>
          <w:left w:val="single" w:sz="4" w:space="4" w:color="auto"/>
          <w:bottom w:val="single" w:sz="4" w:space="1" w:color="auto"/>
          <w:right w:val="single" w:sz="4" w:space="4" w:color="auto"/>
        </w:pBdr>
        <w:jc w:val="both"/>
        <w:rPr>
          <w:rFonts w:ascii="Verdana" w:hAnsi="Verdana"/>
        </w:rPr>
      </w:pPr>
      <w:r w:rsidRPr="00117899">
        <w:rPr>
          <w:rFonts w:ascii="Verdana" w:hAnsi="Verdana"/>
        </w:rPr>
        <w:t>The explanatory notes on VA QRTs and the log file for S.29.03 state that the fields C0100/R0310-R0350 in the table S.29.03.01.06 "reflect the technical flows affecting technical provisions but that are not reflected in the closing best estimate".</w:t>
      </w:r>
      <w:r w:rsidRPr="00117899">
        <w:rPr>
          <w:rFonts w:ascii="Verdana" w:hAnsi="Verdana"/>
        </w:rPr>
        <w:br/>
        <w:t>Could you please give us an example for the Life business where these technical flows are expected to be non-zero?</w:t>
      </w:r>
    </w:p>
    <w:p w:rsidR="00646317" w:rsidRDefault="00646317" w:rsidP="00AA2B9D">
      <w:pPr>
        <w:pBdr>
          <w:top w:val="single" w:sz="4" w:space="1" w:color="auto"/>
          <w:left w:val="single" w:sz="4" w:space="4" w:color="auto"/>
          <w:bottom w:val="single" w:sz="4" w:space="1" w:color="auto"/>
          <w:right w:val="single" w:sz="4" w:space="4" w:color="auto"/>
        </w:pBdr>
        <w:jc w:val="both"/>
        <w:rPr>
          <w:rFonts w:ascii="Verdana" w:hAnsi="Verdana"/>
          <w:b/>
          <w:lang w:val="en-US"/>
        </w:rPr>
      </w:pPr>
      <w:r w:rsidRPr="00117899">
        <w:rPr>
          <w:rFonts w:ascii="Verdana" w:hAnsi="Verdana"/>
          <w:b/>
          <w:lang w:val="en-US"/>
        </w:rPr>
        <w:t>Answer:</w:t>
      </w:r>
    </w:p>
    <w:p w:rsidR="00646317" w:rsidRPr="007853BA" w:rsidRDefault="00646317" w:rsidP="00AA2B9D">
      <w:pPr>
        <w:pBdr>
          <w:top w:val="single" w:sz="4" w:space="1" w:color="auto"/>
          <w:left w:val="single" w:sz="4" w:space="4" w:color="auto"/>
          <w:bottom w:val="single" w:sz="4" w:space="1" w:color="auto"/>
          <w:right w:val="single" w:sz="4" w:space="4" w:color="auto"/>
        </w:pBdr>
        <w:jc w:val="both"/>
        <w:rPr>
          <w:rFonts w:ascii="Verdana" w:hAnsi="Verdana"/>
          <w:lang w:val="en-US"/>
        </w:rPr>
      </w:pPr>
      <w:r>
        <w:rPr>
          <w:rFonts w:ascii="Verdana" w:hAnsi="Verdana"/>
          <w:lang w:val="en-US"/>
        </w:rPr>
        <w:t>In this cells c</w:t>
      </w:r>
      <w:r w:rsidRPr="00117899">
        <w:rPr>
          <w:rFonts w:ascii="Verdana" w:hAnsi="Verdana"/>
          <w:lang w:val="en-US"/>
        </w:rPr>
        <w:t xml:space="preserve">ash-flows regarding claims and benefits settled, </w:t>
      </w:r>
      <w:r w:rsidR="009C3120">
        <w:rPr>
          <w:rFonts w:ascii="Verdana" w:hAnsi="Verdana"/>
          <w:lang w:val="en-US"/>
        </w:rPr>
        <w:t>including the ones</w:t>
      </w:r>
      <w:r>
        <w:rPr>
          <w:rFonts w:ascii="Verdana" w:hAnsi="Verdana"/>
          <w:lang w:val="en-US"/>
        </w:rPr>
        <w:t xml:space="preserve"> </w:t>
      </w:r>
      <w:r w:rsidRPr="00117899">
        <w:rPr>
          <w:rFonts w:ascii="Verdana" w:hAnsi="Verdana"/>
          <w:lang w:val="en-US"/>
        </w:rPr>
        <w:t>previously projected</w:t>
      </w:r>
      <w:r w:rsidR="009C3120">
        <w:rPr>
          <w:rFonts w:ascii="Verdana" w:hAnsi="Verdana"/>
          <w:lang w:val="en-US"/>
        </w:rPr>
        <w:t>,</w:t>
      </w:r>
      <w:r>
        <w:rPr>
          <w:rFonts w:ascii="Verdana" w:hAnsi="Verdana"/>
          <w:lang w:val="en-US"/>
        </w:rPr>
        <w:t xml:space="preserve"> should be reported. One example is payment following one death, i.e. it was projected, happened, was settled and is no </w:t>
      </w:r>
      <w:r w:rsidRPr="00117899">
        <w:rPr>
          <w:rFonts w:ascii="Verdana" w:hAnsi="Verdana"/>
          <w:lang w:val="en-US"/>
        </w:rPr>
        <w:t xml:space="preserve">longer in the closing best estimate. </w:t>
      </w:r>
    </w:p>
    <w:p w:rsidR="009B475C" w:rsidRPr="007853BA" w:rsidRDefault="009B475C" w:rsidP="009B475C">
      <w:pPr>
        <w:pStyle w:val="Heading1"/>
        <w:rPr>
          <w:rFonts w:ascii="Verdana" w:hAnsi="Verdana"/>
          <w:b w:val="0"/>
          <w:lang w:val="en-US"/>
        </w:rPr>
      </w:pPr>
      <w:r w:rsidRPr="007853BA">
        <w:rPr>
          <w:rFonts w:ascii="Verdana" w:hAnsi="Verdana"/>
          <w:sz w:val="22"/>
          <w:lang w:val="en-US"/>
        </w:rPr>
        <w:t xml:space="preserve">S.29.04 - Detailed analysis per period - Technical flows versus </w:t>
      </w:r>
      <w:r w:rsidRPr="007140FC">
        <w:rPr>
          <w:rFonts w:ascii="Verdana" w:hAnsi="Verdana"/>
          <w:sz w:val="22"/>
          <w:lang w:val="en-US"/>
        </w:rPr>
        <w:t>Technical provisions</w:t>
      </w:r>
      <w:r w:rsidR="00CB4E26">
        <w:rPr>
          <w:rStyle w:val="FootnoteReference"/>
          <w:rFonts w:ascii="Verdana" w:hAnsi="Verdana"/>
          <w:sz w:val="22"/>
          <w:lang w:val="en-US"/>
        </w:rPr>
        <w:footnoteReference w:id="6"/>
      </w:r>
    </w:p>
    <w:p w:rsidR="009B475C" w:rsidRDefault="009B475C" w:rsidP="009B475C">
      <w:pPr>
        <w:pStyle w:val="ListParagraph"/>
        <w:ind w:left="709"/>
        <w:jc w:val="both"/>
        <w:rPr>
          <w:rFonts w:ascii="Verdana" w:hAnsi="Verdana"/>
          <w:lang w:val="en-US"/>
        </w:rPr>
      </w:pPr>
    </w:p>
    <w:p w:rsidR="009B475C" w:rsidRDefault="009B475C" w:rsidP="009B475C">
      <w:pPr>
        <w:pStyle w:val="ListParagraph"/>
        <w:numPr>
          <w:ilvl w:val="0"/>
          <w:numId w:val="9"/>
        </w:numPr>
        <w:ind w:left="709" w:hanging="709"/>
        <w:jc w:val="both"/>
        <w:rPr>
          <w:rFonts w:ascii="Verdana" w:hAnsi="Verdana"/>
          <w:lang w:val="en-US"/>
        </w:rPr>
      </w:pPr>
      <w:r w:rsidRPr="00AD7EC0">
        <w:rPr>
          <w:rFonts w:ascii="Verdana" w:eastAsia="Verdana" w:hAnsi="Verdana" w:cs="Verdana"/>
          <w:lang w:val="en-US"/>
        </w:rPr>
        <w:t>T</w:t>
      </w:r>
      <w:r w:rsidRPr="00EC1548">
        <w:rPr>
          <w:rFonts w:ascii="Verdana" w:hAnsi="Verdana"/>
          <w:lang w:val="en-US"/>
        </w:rPr>
        <w:t xml:space="preserve">emplate </w:t>
      </w:r>
      <w:r w:rsidRPr="007853BA">
        <w:rPr>
          <w:rFonts w:ascii="Verdana" w:hAnsi="Verdana"/>
          <w:lang w:val="en-US"/>
        </w:rPr>
        <w:t xml:space="preserve">S.29.04 </w:t>
      </w:r>
      <w:r w:rsidRPr="007140FC">
        <w:rPr>
          <w:rFonts w:ascii="Verdana" w:hAnsi="Verdana"/>
          <w:lang w:val="en-US"/>
        </w:rPr>
        <w:t>aims at giving more detailed analysis, per LoB, of technical variations depending on the occurrence of the risks.</w:t>
      </w:r>
      <w:r w:rsidRPr="008620C2">
        <w:rPr>
          <w:rFonts w:ascii="Verdana" w:hAnsi="Verdana"/>
          <w:lang w:val="en-US"/>
        </w:rPr>
        <w:t xml:space="preserve"> </w:t>
      </w:r>
      <w:r w:rsidR="00ED19A9">
        <w:rPr>
          <w:rFonts w:ascii="Verdana" w:hAnsi="Verdana"/>
          <w:lang w:val="en-US"/>
        </w:rPr>
        <w:t xml:space="preserve">The information </w:t>
      </w:r>
      <w:r w:rsidR="00DD4C63">
        <w:rPr>
          <w:rFonts w:ascii="Verdana" w:hAnsi="Verdana"/>
          <w:lang w:val="en-US"/>
        </w:rPr>
        <w:t>reported in thi</w:t>
      </w:r>
      <w:r w:rsidR="00ED19A9">
        <w:rPr>
          <w:rFonts w:ascii="Verdana" w:hAnsi="Verdana"/>
          <w:lang w:val="en-US"/>
        </w:rPr>
        <w:t xml:space="preserve">s template should be consistent, as referred above for the S.29.03, with the information reported in S.05.01. Allocation methods for split by LoB and by periods are possible but it is expected that this information is available without the need for allocation methods at least by LoB. </w:t>
      </w:r>
    </w:p>
    <w:p w:rsidR="002D0006" w:rsidRDefault="002D0006" w:rsidP="00FD3C5E">
      <w:pPr>
        <w:pStyle w:val="ListParagraph"/>
        <w:ind w:left="709"/>
        <w:jc w:val="both"/>
        <w:rPr>
          <w:rFonts w:ascii="Verdana" w:hAnsi="Verdana"/>
          <w:lang w:val="en-US"/>
        </w:rPr>
      </w:pPr>
    </w:p>
    <w:p w:rsidR="002D0006" w:rsidRDefault="002D0006" w:rsidP="002D0006">
      <w:pPr>
        <w:pStyle w:val="ListParagraph"/>
        <w:numPr>
          <w:ilvl w:val="0"/>
          <w:numId w:val="9"/>
        </w:numPr>
        <w:ind w:left="709" w:hanging="709"/>
        <w:jc w:val="both"/>
        <w:rPr>
          <w:rFonts w:ascii="Verdana" w:hAnsi="Verdana"/>
          <w:lang w:val="en-US"/>
        </w:rPr>
      </w:pPr>
      <w:r>
        <w:rPr>
          <w:rFonts w:ascii="Verdana" w:hAnsi="Verdana"/>
          <w:lang w:val="en-US"/>
        </w:rPr>
        <w:t xml:space="preserve">The template is divided in between underwriting year and accident year. </w:t>
      </w:r>
      <w:r w:rsidRPr="00D41C3A">
        <w:rPr>
          <w:rFonts w:ascii="Verdana" w:hAnsi="Verdana"/>
          <w:lang w:val="en-US"/>
        </w:rPr>
        <w:t>Undertakings are required to report data on an accident year or underwriting year basis, in accordance with any requirements of the National Supervisory Authority. If the National Supervisory Authority has not stipulated which to use then the undertaking may use accident or underwriting year according to how they manage each line of business, as defined in Annex I to Delegated Regulation (EU) 2015/35, provided that they use the same consistently, year on year.</w:t>
      </w:r>
      <w:r>
        <w:rPr>
          <w:rFonts w:ascii="Verdana" w:hAnsi="Verdana"/>
          <w:lang w:val="en-US"/>
        </w:rPr>
        <w:t xml:space="preserve"> This choice is not related to how the best estimate is calculated and which item compose the best estimate but rather, when information is requested by years (or periods in case of S.29.04) in each year/period the contract relates to. </w:t>
      </w:r>
    </w:p>
    <w:p w:rsidR="009B475C" w:rsidRDefault="009B475C" w:rsidP="003E2030">
      <w:pPr>
        <w:jc w:val="center"/>
        <w:rPr>
          <w:lang w:val="en-US"/>
        </w:rPr>
      </w:pPr>
      <w:r w:rsidRPr="00847F66">
        <w:rPr>
          <w:noProof/>
          <w:lang w:val="en-GB" w:eastAsia="en-GB"/>
        </w:rPr>
        <w:drawing>
          <wp:inline distT="0" distB="0" distL="0" distR="0" wp14:anchorId="7022530B" wp14:editId="4F237DAC">
            <wp:extent cx="5383987" cy="4580990"/>
            <wp:effectExtent l="0" t="0" r="7620" b="0"/>
            <wp:docPr id="1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387408" cy="4583901"/>
                    </a:xfrm>
                    <a:prstGeom prst="rect">
                      <a:avLst/>
                    </a:prstGeom>
                    <a:noFill/>
                    <a:ln>
                      <a:noFill/>
                    </a:ln>
                  </pic:spPr>
                </pic:pic>
              </a:graphicData>
            </a:graphic>
          </wp:inline>
        </w:drawing>
      </w:r>
    </w:p>
    <w:p w:rsidR="009B475C" w:rsidRDefault="009B475C" w:rsidP="009B475C">
      <w:pPr>
        <w:pStyle w:val="ListParagraph"/>
        <w:numPr>
          <w:ilvl w:val="0"/>
          <w:numId w:val="9"/>
        </w:numPr>
        <w:ind w:left="709" w:hanging="709"/>
        <w:jc w:val="both"/>
        <w:rPr>
          <w:rFonts w:ascii="Verdana" w:hAnsi="Verdana"/>
          <w:lang w:val="en-US"/>
        </w:rPr>
      </w:pPr>
      <w:r w:rsidRPr="007853BA">
        <w:rPr>
          <w:rFonts w:ascii="Verdana" w:hAnsi="Verdana"/>
          <w:lang w:val="en-US"/>
        </w:rPr>
        <w:t xml:space="preserve">Basically this template summarises </w:t>
      </w:r>
      <w:r w:rsidR="00D146DD">
        <w:rPr>
          <w:rFonts w:ascii="Verdana" w:hAnsi="Verdana"/>
          <w:lang w:val="en-US"/>
        </w:rPr>
        <w:t xml:space="preserve">part of </w:t>
      </w:r>
      <w:r w:rsidRPr="007853BA">
        <w:rPr>
          <w:rFonts w:ascii="Verdana" w:hAnsi="Verdana"/>
          <w:lang w:val="en-US"/>
        </w:rPr>
        <w:t xml:space="preserve">the information provided in template S.29.03 (variation of BE and technical flows) but from other side requires a higher level of granularity </w:t>
      </w:r>
      <w:r w:rsidRPr="008620C2">
        <w:rPr>
          <w:rFonts w:ascii="Verdana" w:hAnsi="Verdana"/>
          <w:lang w:val="en-US"/>
        </w:rPr>
        <w:t>with the split between prior/during/after the period and and split by Line of Business.</w:t>
      </w:r>
    </w:p>
    <w:p w:rsidR="00D146DD" w:rsidRDefault="00D146DD" w:rsidP="00FD3C5E">
      <w:pPr>
        <w:pStyle w:val="ListParagraph"/>
        <w:ind w:left="709"/>
        <w:jc w:val="both"/>
        <w:rPr>
          <w:rFonts w:ascii="Verdana" w:hAnsi="Verdana"/>
          <w:lang w:val="en-US"/>
        </w:rPr>
      </w:pPr>
    </w:p>
    <w:p w:rsidR="00D146DD" w:rsidRDefault="00D146DD" w:rsidP="009B475C">
      <w:pPr>
        <w:pStyle w:val="ListParagraph"/>
        <w:numPr>
          <w:ilvl w:val="0"/>
          <w:numId w:val="9"/>
        </w:numPr>
        <w:ind w:left="709" w:hanging="709"/>
        <w:jc w:val="both"/>
        <w:rPr>
          <w:rFonts w:ascii="Verdana" w:hAnsi="Verdana"/>
          <w:lang w:val="en-US"/>
        </w:rPr>
      </w:pPr>
      <w:r>
        <w:rPr>
          <w:rFonts w:ascii="Verdana" w:hAnsi="Verdana"/>
          <w:lang w:val="en-US"/>
        </w:rPr>
        <w:t xml:space="preserve">All amounts to be reported in R0010 to R0050 and from R0080 to R0120 should include amounts related to </w:t>
      </w:r>
      <w:r w:rsidR="002A3D11" w:rsidRPr="00BA2A0B">
        <w:rPr>
          <w:rFonts w:ascii="Verdana" w:hAnsi="Verdana"/>
          <w:lang w:val="en-US"/>
        </w:rPr>
        <w:t xml:space="preserve">index-linked </w:t>
      </w:r>
      <w:r w:rsidR="002A3D11">
        <w:rPr>
          <w:rFonts w:ascii="Verdana" w:hAnsi="Verdana"/>
          <w:lang w:val="en-US"/>
        </w:rPr>
        <w:t xml:space="preserve">and unit-linked </w:t>
      </w:r>
      <w:r>
        <w:rPr>
          <w:rFonts w:ascii="Verdana" w:hAnsi="Verdana"/>
          <w:lang w:val="en-US"/>
        </w:rPr>
        <w:t xml:space="preserve">business. In R0060 and R0130 the </w:t>
      </w:r>
      <w:r w:rsidRPr="00FC341C">
        <w:rPr>
          <w:rFonts w:ascii="Verdana" w:hAnsi="Verdana"/>
          <w:lang w:val="en-US"/>
        </w:rPr>
        <w:t xml:space="preserve">net impact </w:t>
      </w:r>
      <w:r w:rsidR="00B731B6">
        <w:rPr>
          <w:rFonts w:ascii="Verdana" w:hAnsi="Verdana"/>
          <w:lang w:val="en-US"/>
        </w:rPr>
        <w:t xml:space="preserve">on EoAoL </w:t>
      </w:r>
      <w:r w:rsidRPr="00FC341C">
        <w:rPr>
          <w:rFonts w:ascii="Verdana" w:hAnsi="Verdana"/>
          <w:lang w:val="en-US"/>
        </w:rPr>
        <w:t>of th</w:t>
      </w:r>
      <w:r w:rsidRPr="008C6B68">
        <w:rPr>
          <w:rFonts w:ascii="Verdana" w:hAnsi="Verdana"/>
          <w:lang w:val="en-US"/>
        </w:rPr>
        <w:t xml:space="preserve">e amount of the </w:t>
      </w:r>
      <w:r w:rsidRPr="00FC341C">
        <w:rPr>
          <w:rFonts w:ascii="Verdana" w:hAnsi="Verdana"/>
          <w:lang w:val="en-US"/>
        </w:rPr>
        <w:t>a</w:t>
      </w:r>
      <w:r w:rsidRPr="008C6B68">
        <w:rPr>
          <w:rFonts w:ascii="Verdana" w:hAnsi="Verdana"/>
          <w:lang w:val="en-US"/>
        </w:rPr>
        <w:t xml:space="preserve">ssets held by </w:t>
      </w:r>
      <w:r w:rsidR="002A3D11" w:rsidRPr="00BA2A0B">
        <w:rPr>
          <w:rFonts w:ascii="Verdana" w:hAnsi="Verdana"/>
          <w:lang w:val="en-US"/>
        </w:rPr>
        <w:t xml:space="preserve">index-linked </w:t>
      </w:r>
      <w:r w:rsidR="002A3D11">
        <w:rPr>
          <w:rFonts w:ascii="Verdana" w:hAnsi="Verdana"/>
          <w:lang w:val="en-US"/>
        </w:rPr>
        <w:t xml:space="preserve">and unit-linked </w:t>
      </w:r>
      <w:r w:rsidRPr="008C6B68">
        <w:rPr>
          <w:rFonts w:ascii="Verdana" w:hAnsi="Verdana"/>
          <w:lang w:val="en-US"/>
        </w:rPr>
        <w:t xml:space="preserve">business </w:t>
      </w:r>
      <w:r w:rsidRPr="00FC341C">
        <w:rPr>
          <w:rFonts w:ascii="Verdana" w:hAnsi="Verdana"/>
          <w:lang w:val="en-US"/>
        </w:rPr>
        <w:t xml:space="preserve">and of </w:t>
      </w:r>
      <w:r w:rsidR="00FF6B98">
        <w:rPr>
          <w:rFonts w:ascii="Verdana" w:hAnsi="Verdana"/>
          <w:lang w:val="en-US"/>
        </w:rPr>
        <w:t>t</w:t>
      </w:r>
      <w:r w:rsidRPr="008C6B68">
        <w:rPr>
          <w:rFonts w:ascii="Verdana" w:hAnsi="Verdana"/>
          <w:lang w:val="en-US"/>
        </w:rPr>
        <w:t xml:space="preserve">echnical provisions – index-linked and unit-linked </w:t>
      </w:r>
      <w:r w:rsidRPr="00FC341C">
        <w:rPr>
          <w:rFonts w:ascii="Verdana" w:hAnsi="Verdana"/>
          <w:lang w:val="en-US"/>
        </w:rPr>
        <w:t xml:space="preserve">(calculated as best estimate and risk margin or calculate as a whole) should be reported </w:t>
      </w:r>
      <w:r>
        <w:rPr>
          <w:rFonts w:ascii="Verdana" w:hAnsi="Verdana"/>
          <w:lang w:val="en-US"/>
        </w:rPr>
        <w:t xml:space="preserve">split by periods </w:t>
      </w:r>
      <w:r w:rsidRPr="00FC341C">
        <w:rPr>
          <w:rFonts w:ascii="Verdana" w:hAnsi="Verdana"/>
          <w:lang w:val="en-US"/>
        </w:rPr>
        <w:t>for information</w:t>
      </w:r>
      <w:r>
        <w:rPr>
          <w:rFonts w:ascii="Verdana" w:hAnsi="Verdana"/>
          <w:lang w:val="en-US"/>
        </w:rPr>
        <w:t>.</w:t>
      </w:r>
      <w:r w:rsidR="00606DC5">
        <w:rPr>
          <w:rFonts w:ascii="Verdana" w:hAnsi="Verdana"/>
          <w:lang w:val="en-US"/>
        </w:rPr>
        <w:t xml:space="preserve"> With this new application for </w:t>
      </w:r>
      <w:r w:rsidR="002A3D11" w:rsidRPr="00BA2A0B">
        <w:rPr>
          <w:rFonts w:ascii="Verdana" w:hAnsi="Verdana"/>
          <w:lang w:val="en-US"/>
        </w:rPr>
        <w:t xml:space="preserve">index-linked </w:t>
      </w:r>
      <w:r w:rsidR="002A3D11">
        <w:rPr>
          <w:rFonts w:ascii="Verdana" w:hAnsi="Verdana"/>
          <w:lang w:val="en-US"/>
        </w:rPr>
        <w:t xml:space="preserve">and unit-linked </w:t>
      </w:r>
      <w:r w:rsidR="00606DC5">
        <w:rPr>
          <w:rFonts w:ascii="Verdana" w:hAnsi="Verdana"/>
          <w:lang w:val="en-US"/>
        </w:rPr>
        <w:t>business BV148 and BV149 have to be amended</w:t>
      </w:r>
      <w:r w:rsidR="000E3622">
        <w:rPr>
          <w:rFonts w:ascii="Verdana" w:hAnsi="Verdana"/>
          <w:lang w:val="en-US"/>
        </w:rPr>
        <w:t xml:space="preserve"> </w:t>
      </w:r>
      <w:r w:rsidR="000E3622" w:rsidRPr="00BB09C7">
        <w:rPr>
          <w:rFonts w:ascii="Verdana" w:hAnsi="Verdana"/>
          <w:color w:val="FF0000"/>
          <w:lang w:val="en-US"/>
        </w:rPr>
        <w:t>(</w:t>
      </w:r>
      <w:r w:rsidR="005E4265" w:rsidRPr="00BB09C7">
        <w:rPr>
          <w:rFonts w:ascii="Verdana" w:hAnsi="Verdana"/>
          <w:color w:val="FF0000"/>
          <w:lang w:val="en-US"/>
        </w:rPr>
        <w:t xml:space="preserve">validations should </w:t>
      </w:r>
      <w:r w:rsidR="000E3622" w:rsidRPr="00BB09C7">
        <w:rPr>
          <w:rFonts w:ascii="Verdana" w:hAnsi="Verdana"/>
          <w:color w:val="FF0000"/>
          <w:lang w:val="en-US"/>
        </w:rPr>
        <w:t>not include references to R0060 and R0130)</w:t>
      </w:r>
      <w:r w:rsidR="009F6851">
        <w:rPr>
          <w:rFonts w:ascii="Verdana" w:hAnsi="Verdana"/>
          <w:lang w:val="en-US"/>
        </w:rPr>
        <w:t>.</w:t>
      </w:r>
      <w:r w:rsidR="00606DC5">
        <w:rPr>
          <w:rFonts w:ascii="Verdana" w:hAnsi="Verdana"/>
          <w:lang w:val="en-US"/>
        </w:rPr>
        <w:t xml:space="preserve"> </w:t>
      </w:r>
    </w:p>
    <w:p w:rsidR="00D146DD" w:rsidRDefault="00D146DD" w:rsidP="00FD3C5E">
      <w:pPr>
        <w:pStyle w:val="ListParagraph"/>
        <w:ind w:left="709"/>
        <w:jc w:val="both"/>
        <w:rPr>
          <w:rFonts w:ascii="Verdana" w:hAnsi="Verdana"/>
          <w:lang w:val="en-US"/>
        </w:rPr>
      </w:pPr>
    </w:p>
    <w:p w:rsidR="002034A5" w:rsidRDefault="002034A5" w:rsidP="009B475C">
      <w:pPr>
        <w:pStyle w:val="ListParagraph"/>
        <w:numPr>
          <w:ilvl w:val="0"/>
          <w:numId w:val="9"/>
        </w:numPr>
        <w:ind w:left="709" w:hanging="709"/>
        <w:jc w:val="both"/>
        <w:rPr>
          <w:rFonts w:ascii="Verdana" w:hAnsi="Verdana"/>
          <w:lang w:val="en-US"/>
        </w:rPr>
      </w:pPr>
      <w:r>
        <w:rPr>
          <w:rFonts w:ascii="Verdana" w:hAnsi="Verdana"/>
          <w:lang w:val="en-US"/>
        </w:rPr>
        <w:t>The amounts to be reported should be consistent</w:t>
      </w:r>
      <w:r w:rsidR="00FF04F5">
        <w:rPr>
          <w:rFonts w:ascii="Verdana" w:hAnsi="Verdana"/>
          <w:lang w:val="en-US"/>
        </w:rPr>
        <w:t>, regardless if underwriting year or accident year is used,</w:t>
      </w:r>
      <w:r>
        <w:rPr>
          <w:rFonts w:ascii="Verdana" w:hAnsi="Verdana"/>
          <w:lang w:val="en-US"/>
        </w:rPr>
        <w:t xml:space="preserve"> with template S.29.03 but not exactly the same: </w:t>
      </w:r>
    </w:p>
    <w:p w:rsidR="002034A5" w:rsidRDefault="00041369" w:rsidP="00FD3C5E">
      <w:pPr>
        <w:pStyle w:val="ListParagraph"/>
        <w:numPr>
          <w:ilvl w:val="0"/>
          <w:numId w:val="12"/>
        </w:numPr>
        <w:ind w:left="1134"/>
        <w:jc w:val="both"/>
        <w:rPr>
          <w:rFonts w:ascii="Verdana" w:hAnsi="Verdana"/>
          <w:lang w:val="en-US"/>
        </w:rPr>
      </w:pPr>
      <w:r>
        <w:rPr>
          <w:rFonts w:ascii="Verdana" w:hAnsi="Verdana"/>
          <w:lang w:val="en-US"/>
        </w:rPr>
        <w:t xml:space="preserve">S.29.04.R0010 and R0080 - </w:t>
      </w:r>
      <w:r w:rsidR="002034A5">
        <w:rPr>
          <w:rFonts w:ascii="Verdana" w:hAnsi="Verdana"/>
          <w:lang w:val="en-US"/>
        </w:rPr>
        <w:t xml:space="preserve">Premiums: no validation between S.29.04 and S.29.03. However it is expected that the amounts are </w:t>
      </w:r>
      <w:r w:rsidR="00FD3C5E">
        <w:rPr>
          <w:rFonts w:ascii="Verdana" w:hAnsi="Verdana"/>
          <w:lang w:val="en-US"/>
        </w:rPr>
        <w:t xml:space="preserve">the same as </w:t>
      </w:r>
      <w:r w:rsidR="002034A5">
        <w:rPr>
          <w:rFonts w:ascii="Verdana" w:hAnsi="Verdana"/>
          <w:lang w:val="en-US"/>
        </w:rPr>
        <w:t xml:space="preserve">the ones reported in S.29.03.R0310. In both cases </w:t>
      </w:r>
      <w:r w:rsidR="002034A5" w:rsidRPr="00D146DD">
        <w:rPr>
          <w:rFonts w:ascii="Verdana" w:hAnsi="Verdana"/>
          <w:lang w:val="en-US"/>
        </w:rPr>
        <w:t xml:space="preserve">should be premiums </w:t>
      </w:r>
      <w:r w:rsidR="00D146DD" w:rsidRPr="00FD3C5E">
        <w:rPr>
          <w:rFonts w:ascii="Verdana" w:hAnsi="Verdana"/>
          <w:lang w:val="en-US"/>
        </w:rPr>
        <w:t>actually due to be received in that year</w:t>
      </w:r>
      <w:r w:rsidR="002034A5">
        <w:rPr>
          <w:rFonts w:ascii="Verdana" w:hAnsi="Verdana"/>
          <w:lang w:val="en-US"/>
        </w:rPr>
        <w:t>;</w:t>
      </w:r>
    </w:p>
    <w:p w:rsidR="002034A5" w:rsidRDefault="00041369" w:rsidP="00FD3C5E">
      <w:pPr>
        <w:pStyle w:val="ListParagraph"/>
        <w:numPr>
          <w:ilvl w:val="0"/>
          <w:numId w:val="12"/>
        </w:numPr>
        <w:ind w:left="1134"/>
        <w:jc w:val="both"/>
        <w:rPr>
          <w:rFonts w:ascii="Verdana" w:hAnsi="Verdana"/>
          <w:lang w:val="en-US"/>
        </w:rPr>
      </w:pPr>
      <w:r>
        <w:rPr>
          <w:rFonts w:ascii="Verdana" w:hAnsi="Verdana"/>
          <w:lang w:val="en-US"/>
        </w:rPr>
        <w:t xml:space="preserve">S.29.04.R0020 and R0090 - </w:t>
      </w:r>
      <w:r w:rsidR="002034A5">
        <w:rPr>
          <w:rFonts w:ascii="Verdana" w:hAnsi="Verdana"/>
          <w:lang w:val="en-US"/>
        </w:rPr>
        <w:t xml:space="preserve">Claims and benefits: </w:t>
      </w:r>
      <w:r w:rsidR="003460FA">
        <w:rPr>
          <w:rFonts w:ascii="Verdana" w:hAnsi="Verdana"/>
          <w:lang w:val="en-US"/>
        </w:rPr>
        <w:t xml:space="preserve">it is expected that the amounts reported in both S.29.03 and S.29.04 are the same (see </w:t>
      </w:r>
      <w:r w:rsidR="002034A5">
        <w:rPr>
          <w:rFonts w:ascii="Verdana" w:hAnsi="Verdana"/>
          <w:lang w:val="en-US"/>
        </w:rPr>
        <w:t>BV509</w:t>
      </w:r>
      <w:r w:rsidR="003460FA">
        <w:rPr>
          <w:rFonts w:ascii="Verdana" w:hAnsi="Verdana"/>
          <w:lang w:val="en-US"/>
        </w:rPr>
        <w:t>)</w:t>
      </w:r>
      <w:r w:rsidR="00CB7677">
        <w:rPr>
          <w:rFonts w:ascii="Verdana" w:hAnsi="Verdana"/>
          <w:lang w:val="en-US"/>
        </w:rPr>
        <w:t xml:space="preserve">. </w:t>
      </w:r>
    </w:p>
    <w:p w:rsidR="00CB7677" w:rsidRPr="008620C2" w:rsidRDefault="00041369" w:rsidP="00FD3C5E">
      <w:pPr>
        <w:pStyle w:val="ListParagraph"/>
        <w:numPr>
          <w:ilvl w:val="0"/>
          <w:numId w:val="12"/>
        </w:numPr>
        <w:ind w:left="1134"/>
        <w:jc w:val="both"/>
        <w:rPr>
          <w:rFonts w:ascii="Verdana" w:hAnsi="Verdana"/>
          <w:lang w:val="en-US"/>
        </w:rPr>
      </w:pPr>
      <w:r>
        <w:rPr>
          <w:rFonts w:ascii="Verdana" w:hAnsi="Verdana"/>
          <w:lang w:val="en-US"/>
        </w:rPr>
        <w:t xml:space="preserve">S.29.04.R0030 and R0100 - </w:t>
      </w:r>
      <w:r w:rsidR="00CB7677">
        <w:rPr>
          <w:rFonts w:ascii="Verdana" w:hAnsi="Verdana"/>
          <w:lang w:val="en-US"/>
        </w:rPr>
        <w:t xml:space="preserve">Expenses: </w:t>
      </w:r>
      <w:r w:rsidR="003460FA">
        <w:rPr>
          <w:rFonts w:ascii="Verdana" w:hAnsi="Verdana"/>
          <w:lang w:val="en-US"/>
        </w:rPr>
        <w:t xml:space="preserve">it is expected that the amounts reported in both S.29.03 and S.29.04 are the same (see </w:t>
      </w:r>
      <w:r w:rsidR="00CB7677">
        <w:rPr>
          <w:rFonts w:ascii="Verdana" w:hAnsi="Verdana"/>
          <w:lang w:val="en-US"/>
        </w:rPr>
        <w:t>BV510</w:t>
      </w:r>
      <w:r w:rsidR="003460FA">
        <w:rPr>
          <w:rFonts w:ascii="Verdana" w:hAnsi="Verdana"/>
          <w:lang w:val="en-US"/>
        </w:rPr>
        <w:t>).</w:t>
      </w:r>
      <w:r w:rsidR="00CB7677">
        <w:rPr>
          <w:rFonts w:ascii="Verdana" w:hAnsi="Verdana"/>
          <w:lang w:val="en-US"/>
        </w:rPr>
        <w:t xml:space="preserve"> One doubt </w:t>
      </w:r>
      <w:r w:rsidR="003460FA">
        <w:rPr>
          <w:rFonts w:ascii="Verdana" w:hAnsi="Verdana"/>
          <w:lang w:val="en-US"/>
        </w:rPr>
        <w:t xml:space="preserve">that </w:t>
      </w:r>
      <w:r w:rsidR="00CB7677">
        <w:rPr>
          <w:rFonts w:ascii="Verdana" w:hAnsi="Verdana"/>
          <w:lang w:val="en-US"/>
        </w:rPr>
        <w:t xml:space="preserve">could </w:t>
      </w:r>
      <w:r w:rsidR="003460FA">
        <w:rPr>
          <w:rFonts w:ascii="Verdana" w:hAnsi="Verdana"/>
          <w:lang w:val="en-US"/>
        </w:rPr>
        <w:t xml:space="preserve">arise would </w:t>
      </w:r>
      <w:r w:rsidR="00CB7677">
        <w:rPr>
          <w:rFonts w:ascii="Verdana" w:hAnsi="Verdana"/>
          <w:lang w:val="en-US"/>
        </w:rPr>
        <w:t>be the investment expenses, however in both S.29.03 and S.29.04 the amount on expenses should exc</w:t>
      </w:r>
      <w:r w:rsidR="00D41D23">
        <w:rPr>
          <w:rFonts w:ascii="Verdana" w:hAnsi="Verdana"/>
          <w:lang w:val="en-US"/>
        </w:rPr>
        <w:t>l</w:t>
      </w:r>
      <w:r w:rsidR="00CB7677">
        <w:rPr>
          <w:rFonts w:ascii="Verdana" w:hAnsi="Verdana"/>
          <w:lang w:val="en-US"/>
        </w:rPr>
        <w:t>u</w:t>
      </w:r>
      <w:r w:rsidR="00D41D23">
        <w:rPr>
          <w:rFonts w:ascii="Verdana" w:hAnsi="Verdana"/>
          <w:lang w:val="en-US"/>
        </w:rPr>
        <w:t>d</w:t>
      </w:r>
      <w:r w:rsidR="00CB7677">
        <w:rPr>
          <w:rFonts w:ascii="Verdana" w:hAnsi="Verdana"/>
          <w:lang w:val="en-US"/>
        </w:rPr>
        <w:t>e</w:t>
      </w:r>
      <w:r w:rsidR="00FD3C5E">
        <w:rPr>
          <w:rFonts w:ascii="Verdana" w:hAnsi="Verdana"/>
          <w:lang w:val="en-US"/>
        </w:rPr>
        <w:t xml:space="preserve"> any</w:t>
      </w:r>
      <w:r w:rsidR="00CB7677">
        <w:rPr>
          <w:rFonts w:ascii="Verdana" w:hAnsi="Verdana"/>
          <w:lang w:val="en-US"/>
        </w:rPr>
        <w:t xml:space="preserve"> </w:t>
      </w:r>
      <w:r w:rsidR="00D41D23">
        <w:rPr>
          <w:rFonts w:ascii="Verdana" w:hAnsi="Verdana"/>
          <w:lang w:val="en-US"/>
        </w:rPr>
        <w:t xml:space="preserve"> investment expenses.</w:t>
      </w:r>
    </w:p>
    <w:p w:rsidR="009B475C" w:rsidRDefault="009B475C" w:rsidP="009B475C">
      <w:pPr>
        <w:pStyle w:val="ListParagraph"/>
        <w:ind w:left="709"/>
        <w:jc w:val="both"/>
        <w:rPr>
          <w:rFonts w:ascii="Verdana" w:hAnsi="Verdana"/>
          <w:highlight w:val="yellow"/>
          <w:lang w:val="en-US"/>
        </w:rPr>
      </w:pPr>
    </w:p>
    <w:p w:rsidR="003460FA" w:rsidRPr="007853BA" w:rsidRDefault="003460FA" w:rsidP="003460FA">
      <w:pPr>
        <w:pStyle w:val="ListParagraph"/>
        <w:numPr>
          <w:ilvl w:val="0"/>
          <w:numId w:val="9"/>
        </w:numPr>
        <w:ind w:left="709" w:hanging="709"/>
        <w:jc w:val="both"/>
        <w:rPr>
          <w:rFonts w:ascii="Verdana" w:hAnsi="Verdana"/>
          <w:lang w:val="en-US"/>
        </w:rPr>
      </w:pPr>
      <w:r>
        <w:rPr>
          <w:rFonts w:ascii="Verdana" w:hAnsi="Verdana"/>
          <w:lang w:val="en-US"/>
        </w:rPr>
        <w:t xml:space="preserve">Only the technical cash-flows referred explicitly should be reported. Any other technical flows other than premiums, claims and benefites net of salvages and subrogations and expenses excluding investment expenses should not be reported in this template (see also comment on S.29.01.R0250). </w:t>
      </w:r>
    </w:p>
    <w:p w:rsidR="003460FA" w:rsidRDefault="003460FA" w:rsidP="007500C5">
      <w:pPr>
        <w:pStyle w:val="ListParagraph"/>
        <w:ind w:left="709"/>
        <w:jc w:val="both"/>
        <w:rPr>
          <w:rFonts w:ascii="Verdana" w:hAnsi="Verdana"/>
          <w:lang w:val="en-US"/>
        </w:rPr>
      </w:pPr>
    </w:p>
    <w:p w:rsidR="00BE73B0" w:rsidRDefault="002034A5" w:rsidP="002034A5">
      <w:pPr>
        <w:pStyle w:val="ListParagraph"/>
        <w:numPr>
          <w:ilvl w:val="0"/>
          <w:numId w:val="9"/>
        </w:numPr>
        <w:ind w:left="709" w:hanging="709"/>
        <w:jc w:val="both"/>
        <w:rPr>
          <w:rFonts w:ascii="Verdana" w:hAnsi="Verdana"/>
          <w:lang w:val="en-US"/>
        </w:rPr>
      </w:pPr>
      <w:r>
        <w:rPr>
          <w:rFonts w:ascii="Verdana" w:hAnsi="Verdana"/>
          <w:lang w:val="en-US"/>
        </w:rPr>
        <w:t xml:space="preserve">In cell </w:t>
      </w:r>
      <w:r w:rsidR="00041369">
        <w:rPr>
          <w:rFonts w:ascii="Verdana" w:hAnsi="Verdana"/>
          <w:lang w:val="en-US"/>
        </w:rPr>
        <w:t>S.29.04.</w:t>
      </w:r>
      <w:r>
        <w:rPr>
          <w:rFonts w:ascii="Verdana" w:hAnsi="Verdana"/>
          <w:lang w:val="en-US"/>
        </w:rPr>
        <w:t>R0040 and R0110, the amounts should reflect only the variation directly linked to the acceptance of risks (s</w:t>
      </w:r>
      <w:r w:rsidR="00916A2E">
        <w:rPr>
          <w:rFonts w:ascii="Verdana" w:hAnsi="Verdana"/>
          <w:lang w:val="en-US"/>
        </w:rPr>
        <w:t>ee</w:t>
      </w:r>
      <w:r>
        <w:rPr>
          <w:rFonts w:ascii="Verdana" w:hAnsi="Verdana"/>
          <w:lang w:val="en-US"/>
        </w:rPr>
        <w:t xml:space="preserve"> BV 512 and </w:t>
      </w:r>
      <w:r w:rsidR="00F44DE3">
        <w:rPr>
          <w:rFonts w:ascii="Verdana" w:hAnsi="Verdana"/>
          <w:lang w:val="en-US"/>
        </w:rPr>
        <w:t xml:space="preserve">BV </w:t>
      </w:r>
      <w:r>
        <w:rPr>
          <w:rFonts w:ascii="Verdana" w:hAnsi="Verdana"/>
          <w:lang w:val="en-US"/>
        </w:rPr>
        <w:t>513).</w:t>
      </w:r>
      <w:r w:rsidR="00BE73B0">
        <w:rPr>
          <w:rFonts w:ascii="Verdana" w:hAnsi="Verdana"/>
          <w:lang w:val="en-US"/>
        </w:rPr>
        <w:t xml:space="preserve"> Specifically:</w:t>
      </w:r>
    </w:p>
    <w:p w:rsidR="00BE73B0" w:rsidRDefault="00BE73B0" w:rsidP="00117899">
      <w:pPr>
        <w:pStyle w:val="ListParagraph"/>
        <w:numPr>
          <w:ilvl w:val="0"/>
          <w:numId w:val="91"/>
        </w:numPr>
        <w:rPr>
          <w:rFonts w:ascii="Verdana" w:hAnsi="Verdana"/>
          <w:lang w:val="en-US"/>
        </w:rPr>
      </w:pPr>
      <w:r>
        <w:rPr>
          <w:rFonts w:ascii="Verdana" w:hAnsi="Verdana"/>
          <w:lang w:val="en-US"/>
        </w:rPr>
        <w:t>S.29.04.R0040/C0010 = S.29.03.R0050/C0010+C0020</w:t>
      </w:r>
    </w:p>
    <w:p w:rsidR="00BE73B0" w:rsidRPr="00117899" w:rsidRDefault="00BE73B0" w:rsidP="00117899">
      <w:pPr>
        <w:pStyle w:val="ListParagraph"/>
        <w:numPr>
          <w:ilvl w:val="0"/>
          <w:numId w:val="91"/>
        </w:numPr>
        <w:rPr>
          <w:rFonts w:ascii="Verdana" w:hAnsi="Verdana"/>
          <w:lang w:val="pt-PT"/>
        </w:rPr>
      </w:pPr>
      <w:r w:rsidRPr="00117899">
        <w:rPr>
          <w:rFonts w:ascii="Verdana" w:hAnsi="Verdana"/>
          <w:lang w:val="pt-PT"/>
        </w:rPr>
        <w:t>S.29.04.R0040/C0020 =</w:t>
      </w:r>
      <w:r w:rsidR="006B178C">
        <w:rPr>
          <w:rFonts w:ascii="Verdana" w:hAnsi="Verdana"/>
          <w:lang w:val="pt-PT"/>
        </w:rPr>
        <w:t xml:space="preserve"> </w:t>
      </w:r>
      <w:r w:rsidRPr="00117899">
        <w:rPr>
          <w:rFonts w:ascii="Verdana" w:hAnsi="Verdana"/>
          <w:lang w:val="pt-PT"/>
        </w:rPr>
        <w:t>S.29.03.R0060 to R0100/C0010+C0020</w:t>
      </w:r>
    </w:p>
    <w:p w:rsidR="00BE73B0" w:rsidRDefault="00BE73B0" w:rsidP="00117899">
      <w:pPr>
        <w:pStyle w:val="ListParagraph"/>
        <w:numPr>
          <w:ilvl w:val="0"/>
          <w:numId w:val="91"/>
        </w:numPr>
        <w:rPr>
          <w:rFonts w:ascii="Verdana" w:hAnsi="Verdana"/>
          <w:lang w:val="en-US"/>
        </w:rPr>
      </w:pPr>
      <w:r>
        <w:rPr>
          <w:rFonts w:ascii="Verdana" w:hAnsi="Verdana"/>
          <w:lang w:val="en-US"/>
        </w:rPr>
        <w:t>S.29.04.R0110/C0030 = S.29.03.R0190/C00</w:t>
      </w:r>
      <w:r w:rsidR="002C3B28" w:rsidRPr="00BB09C7">
        <w:rPr>
          <w:rFonts w:ascii="Verdana" w:hAnsi="Verdana"/>
          <w:color w:val="FF0000"/>
          <w:lang w:val="en-US"/>
        </w:rPr>
        <w:t>5</w:t>
      </w:r>
      <w:r>
        <w:rPr>
          <w:rFonts w:ascii="Verdana" w:hAnsi="Verdana"/>
          <w:lang w:val="en-US"/>
        </w:rPr>
        <w:t>0+C00</w:t>
      </w:r>
      <w:r w:rsidR="002C3B28" w:rsidRPr="00BB09C7">
        <w:rPr>
          <w:rFonts w:ascii="Verdana" w:hAnsi="Verdana"/>
          <w:color w:val="FF0000"/>
          <w:lang w:val="en-US"/>
        </w:rPr>
        <w:t>6</w:t>
      </w:r>
      <w:r>
        <w:rPr>
          <w:rFonts w:ascii="Verdana" w:hAnsi="Verdana"/>
          <w:lang w:val="en-US"/>
        </w:rPr>
        <w:t>0</w:t>
      </w:r>
    </w:p>
    <w:p w:rsidR="00BE73B0" w:rsidRDefault="00BE73B0" w:rsidP="00117899">
      <w:pPr>
        <w:pStyle w:val="ListParagraph"/>
        <w:numPr>
          <w:ilvl w:val="0"/>
          <w:numId w:val="91"/>
        </w:numPr>
        <w:rPr>
          <w:rFonts w:ascii="Verdana" w:hAnsi="Verdana"/>
          <w:lang w:val="en-US"/>
        </w:rPr>
      </w:pPr>
      <w:r>
        <w:rPr>
          <w:rFonts w:ascii="Verdana" w:hAnsi="Verdana"/>
          <w:lang w:val="en-US"/>
        </w:rPr>
        <w:t>S.29.04.R0110/C0040 = S.</w:t>
      </w:r>
      <w:r w:rsidRPr="00BB09C7">
        <w:rPr>
          <w:rFonts w:ascii="Verdana" w:hAnsi="Verdana"/>
          <w:color w:val="FF0000"/>
          <w:lang w:val="en-US"/>
        </w:rPr>
        <w:t>2</w:t>
      </w:r>
      <w:r w:rsidR="002C3B28" w:rsidRPr="00BB09C7">
        <w:rPr>
          <w:rFonts w:ascii="Verdana" w:hAnsi="Verdana"/>
          <w:color w:val="FF0000"/>
          <w:lang w:val="en-US"/>
        </w:rPr>
        <w:t>9</w:t>
      </w:r>
      <w:r>
        <w:rPr>
          <w:rFonts w:ascii="Verdana" w:hAnsi="Verdana"/>
          <w:lang w:val="en-US"/>
        </w:rPr>
        <w:t>.03.R0200/</w:t>
      </w:r>
      <w:r w:rsidRPr="00BB09C7">
        <w:rPr>
          <w:rFonts w:ascii="Verdana" w:hAnsi="Verdana"/>
          <w:color w:val="FF0000"/>
          <w:lang w:val="en-US"/>
        </w:rPr>
        <w:t>C00</w:t>
      </w:r>
      <w:r w:rsidR="002C3B28" w:rsidRPr="00BB09C7">
        <w:rPr>
          <w:rFonts w:ascii="Verdana" w:hAnsi="Verdana"/>
          <w:color w:val="FF0000"/>
          <w:lang w:val="en-US"/>
        </w:rPr>
        <w:t>5</w:t>
      </w:r>
      <w:r w:rsidRPr="00BB09C7">
        <w:rPr>
          <w:rFonts w:ascii="Verdana" w:hAnsi="Verdana"/>
          <w:color w:val="FF0000"/>
          <w:lang w:val="en-US"/>
        </w:rPr>
        <w:t>0</w:t>
      </w:r>
      <w:r w:rsidRPr="003D30E8">
        <w:rPr>
          <w:rFonts w:ascii="Verdana" w:hAnsi="Verdana"/>
          <w:lang w:val="en-US"/>
        </w:rPr>
        <w:t>+</w:t>
      </w:r>
      <w:r w:rsidRPr="00BB09C7">
        <w:rPr>
          <w:rFonts w:ascii="Verdana" w:hAnsi="Verdana"/>
          <w:color w:val="FF0000"/>
          <w:lang w:val="en-US"/>
        </w:rPr>
        <w:t>C00</w:t>
      </w:r>
      <w:r w:rsidR="002C3B28" w:rsidRPr="00BB09C7">
        <w:rPr>
          <w:rFonts w:ascii="Verdana" w:hAnsi="Verdana"/>
          <w:color w:val="FF0000"/>
          <w:lang w:val="en-US"/>
        </w:rPr>
        <w:t>6</w:t>
      </w:r>
      <w:r w:rsidRPr="00BB09C7">
        <w:rPr>
          <w:rFonts w:ascii="Verdana" w:hAnsi="Verdana"/>
          <w:color w:val="FF0000"/>
          <w:lang w:val="en-US"/>
        </w:rPr>
        <w:t>0</w:t>
      </w:r>
    </w:p>
    <w:p w:rsidR="00BE73B0" w:rsidRPr="00117899" w:rsidRDefault="00BE73B0" w:rsidP="00117899">
      <w:pPr>
        <w:pStyle w:val="ListParagraph"/>
        <w:numPr>
          <w:ilvl w:val="0"/>
          <w:numId w:val="91"/>
        </w:numPr>
        <w:rPr>
          <w:rFonts w:ascii="Verdana" w:hAnsi="Verdana"/>
          <w:lang w:val="pt-PT"/>
        </w:rPr>
      </w:pPr>
      <w:r w:rsidRPr="00117899">
        <w:rPr>
          <w:rFonts w:ascii="Verdana" w:hAnsi="Verdana"/>
          <w:lang w:val="pt-PT"/>
        </w:rPr>
        <w:t>S.29.04.R0110/C0050 = S.29.03.R0210 to R0250/C00</w:t>
      </w:r>
      <w:r w:rsidR="002C3B28" w:rsidRPr="00BB09C7">
        <w:rPr>
          <w:rFonts w:ascii="Verdana" w:hAnsi="Verdana"/>
          <w:color w:val="FF0000"/>
          <w:lang w:val="pt-PT"/>
        </w:rPr>
        <w:t>5</w:t>
      </w:r>
      <w:r w:rsidRPr="00117899">
        <w:rPr>
          <w:rFonts w:ascii="Verdana" w:hAnsi="Verdana"/>
          <w:lang w:val="pt-PT"/>
        </w:rPr>
        <w:t>0+C00</w:t>
      </w:r>
      <w:r w:rsidR="002C3B28" w:rsidRPr="00BB09C7">
        <w:rPr>
          <w:rFonts w:ascii="Verdana" w:hAnsi="Verdana"/>
          <w:color w:val="FF0000"/>
          <w:lang w:val="pt-PT"/>
        </w:rPr>
        <w:t>6</w:t>
      </w:r>
      <w:r w:rsidRPr="00117899">
        <w:rPr>
          <w:rFonts w:ascii="Verdana" w:hAnsi="Verdana"/>
          <w:lang w:val="pt-PT"/>
        </w:rPr>
        <w:t>0</w:t>
      </w:r>
    </w:p>
    <w:p w:rsidR="00BE73B0" w:rsidRPr="00117899" w:rsidRDefault="00BE73B0" w:rsidP="00117899">
      <w:pPr>
        <w:pStyle w:val="ListParagraph"/>
        <w:ind w:left="1440"/>
        <w:rPr>
          <w:rFonts w:ascii="Verdana" w:hAnsi="Verdana"/>
          <w:lang w:val="pt-PT"/>
        </w:rPr>
      </w:pPr>
    </w:p>
    <w:p w:rsidR="002034A5" w:rsidRDefault="002034A5" w:rsidP="002034A5">
      <w:pPr>
        <w:pStyle w:val="ListParagraph"/>
        <w:numPr>
          <w:ilvl w:val="0"/>
          <w:numId w:val="9"/>
        </w:numPr>
        <w:ind w:left="709" w:hanging="709"/>
        <w:jc w:val="both"/>
        <w:rPr>
          <w:rFonts w:ascii="Verdana" w:hAnsi="Verdana"/>
          <w:lang w:val="en-US"/>
        </w:rPr>
      </w:pPr>
      <w:r>
        <w:rPr>
          <w:rFonts w:ascii="Verdana" w:hAnsi="Verdana"/>
          <w:lang w:val="en-US"/>
        </w:rPr>
        <w:t>The variation triggered for example by changes in perimeter or foreign exchange variation should not be reported in S.29.04.</w:t>
      </w:r>
      <w:r w:rsidR="00041369">
        <w:rPr>
          <w:rFonts w:ascii="Verdana" w:hAnsi="Verdana"/>
          <w:lang w:val="en-US"/>
        </w:rPr>
        <w:t xml:space="preserve"> This means that this cells do not reflect the total variation of the best estimate. </w:t>
      </w:r>
    </w:p>
    <w:p w:rsidR="007E36EC" w:rsidRDefault="007E36EC" w:rsidP="00117899">
      <w:pPr>
        <w:pStyle w:val="ListParagraph"/>
        <w:ind w:left="709"/>
        <w:jc w:val="both"/>
        <w:rPr>
          <w:rFonts w:ascii="Verdana" w:hAnsi="Verdana"/>
          <w:lang w:val="en-US"/>
        </w:rPr>
      </w:pPr>
    </w:p>
    <w:p w:rsidR="00DC2874" w:rsidRDefault="00DC2874" w:rsidP="00DC2874">
      <w:pPr>
        <w:pStyle w:val="ListParagraph"/>
        <w:numPr>
          <w:ilvl w:val="0"/>
          <w:numId w:val="9"/>
        </w:numPr>
        <w:ind w:left="709" w:hanging="709"/>
        <w:jc w:val="both"/>
        <w:rPr>
          <w:rFonts w:ascii="Verdana" w:hAnsi="Verdana"/>
          <w:lang w:val="en-US"/>
        </w:rPr>
      </w:pPr>
      <w:r>
        <w:rPr>
          <w:rFonts w:ascii="Verdana" w:hAnsi="Verdana"/>
          <w:lang w:val="en-US"/>
        </w:rPr>
        <w:t xml:space="preserve">In S.29.04.R0060 and R0130, as stated above, the </w:t>
      </w:r>
      <w:r w:rsidRPr="00FC341C">
        <w:rPr>
          <w:rFonts w:ascii="Verdana" w:hAnsi="Verdana"/>
          <w:lang w:val="en-US"/>
        </w:rPr>
        <w:t>net impact of th</w:t>
      </w:r>
      <w:r w:rsidRPr="008C6B68">
        <w:rPr>
          <w:rFonts w:ascii="Verdana" w:hAnsi="Verdana"/>
          <w:lang w:val="en-US"/>
        </w:rPr>
        <w:t xml:space="preserve">e amount of the </w:t>
      </w:r>
      <w:r w:rsidRPr="00FC341C">
        <w:rPr>
          <w:rFonts w:ascii="Verdana" w:hAnsi="Verdana"/>
          <w:lang w:val="en-US"/>
        </w:rPr>
        <w:t>a</w:t>
      </w:r>
      <w:r w:rsidRPr="008C6B68">
        <w:rPr>
          <w:rFonts w:ascii="Verdana" w:hAnsi="Verdana"/>
          <w:lang w:val="en-US"/>
        </w:rPr>
        <w:t xml:space="preserve">ssets held by </w:t>
      </w:r>
      <w:r w:rsidR="002A3D11" w:rsidRPr="00BA2A0B">
        <w:rPr>
          <w:rFonts w:ascii="Verdana" w:hAnsi="Verdana"/>
          <w:lang w:val="en-US"/>
        </w:rPr>
        <w:t xml:space="preserve">index-linked </w:t>
      </w:r>
      <w:r w:rsidR="002A3D11">
        <w:rPr>
          <w:rFonts w:ascii="Verdana" w:hAnsi="Verdana"/>
          <w:lang w:val="en-US"/>
        </w:rPr>
        <w:t xml:space="preserve">and unit-linked </w:t>
      </w:r>
      <w:r w:rsidRPr="008C6B68">
        <w:rPr>
          <w:rFonts w:ascii="Verdana" w:hAnsi="Verdana"/>
          <w:lang w:val="en-US"/>
        </w:rPr>
        <w:t xml:space="preserve">business </w:t>
      </w:r>
      <w:r w:rsidRPr="00FC341C">
        <w:rPr>
          <w:rFonts w:ascii="Verdana" w:hAnsi="Verdana"/>
          <w:lang w:val="en-US"/>
        </w:rPr>
        <w:t xml:space="preserve">and of </w:t>
      </w:r>
      <w:r w:rsidRPr="008C6B68">
        <w:rPr>
          <w:rFonts w:ascii="Verdana" w:hAnsi="Verdana"/>
          <w:lang w:val="en-US"/>
        </w:rPr>
        <w:t xml:space="preserve">Technical provisions – index-linked and unit-linked </w:t>
      </w:r>
      <w:r w:rsidRPr="00FC341C">
        <w:rPr>
          <w:rFonts w:ascii="Verdana" w:hAnsi="Verdana"/>
          <w:lang w:val="en-US"/>
        </w:rPr>
        <w:t>(calculated as best estimate and risk margin or calculate as a whole</w:t>
      </w:r>
      <w:r w:rsidR="00AE3B9D" w:rsidRPr="0004255B">
        <w:rPr>
          <w:rFonts w:ascii="Verdana" w:hAnsi="Verdana"/>
          <w:lang w:val="en-US"/>
        </w:rPr>
        <w:t>)</w:t>
      </w:r>
      <w:r w:rsidR="00AE3B9D">
        <w:rPr>
          <w:rFonts w:ascii="Verdana" w:hAnsi="Verdana"/>
          <w:lang w:val="en-US"/>
        </w:rPr>
        <w:t>, including the technical flows,</w:t>
      </w:r>
      <w:r w:rsidRPr="00FC341C">
        <w:rPr>
          <w:rFonts w:ascii="Verdana" w:hAnsi="Verdana"/>
          <w:lang w:val="en-US"/>
        </w:rPr>
        <w:t xml:space="preserve"> should be reported </w:t>
      </w:r>
      <w:r>
        <w:rPr>
          <w:rFonts w:ascii="Verdana" w:hAnsi="Verdana"/>
          <w:lang w:val="en-US"/>
        </w:rPr>
        <w:t xml:space="preserve">split by periods </w:t>
      </w:r>
      <w:r w:rsidRPr="00FC341C">
        <w:rPr>
          <w:rFonts w:ascii="Verdana" w:hAnsi="Verdana"/>
          <w:lang w:val="en-US"/>
        </w:rPr>
        <w:t>for information</w:t>
      </w:r>
      <w:r>
        <w:rPr>
          <w:rFonts w:ascii="Verdana" w:hAnsi="Verdana"/>
          <w:lang w:val="en-US"/>
        </w:rPr>
        <w:t>.</w:t>
      </w:r>
      <w:r w:rsidR="006B178C">
        <w:rPr>
          <w:rFonts w:ascii="Verdana" w:hAnsi="Verdana"/>
          <w:lang w:val="en-US"/>
        </w:rPr>
        <w:t xml:space="preserve"> This amount should be </w:t>
      </w:r>
      <w:r w:rsidR="00AF7344">
        <w:rPr>
          <w:rFonts w:ascii="Verdana" w:hAnsi="Verdana"/>
          <w:lang w:val="en-US"/>
        </w:rPr>
        <w:t xml:space="preserve">the same as </w:t>
      </w:r>
      <w:r w:rsidR="006B178C">
        <w:rPr>
          <w:rFonts w:ascii="Verdana" w:hAnsi="Verdana"/>
          <w:lang w:val="en-US"/>
        </w:rPr>
        <w:t>the amount reported in S.29.03.R0300/C0090.</w:t>
      </w:r>
    </w:p>
    <w:p w:rsidR="007E36EC" w:rsidRDefault="007E36EC" w:rsidP="00AF7344">
      <w:pPr>
        <w:pStyle w:val="ListParagraph"/>
        <w:ind w:left="709"/>
        <w:jc w:val="both"/>
        <w:rPr>
          <w:rFonts w:ascii="Verdana" w:hAnsi="Verdana"/>
          <w:lang w:val="en-US"/>
        </w:rPr>
      </w:pPr>
    </w:p>
    <w:p w:rsidR="009B475C" w:rsidRPr="00710442" w:rsidRDefault="009B475C" w:rsidP="009B475C">
      <w:pPr>
        <w:pStyle w:val="ListParagraph"/>
        <w:numPr>
          <w:ilvl w:val="0"/>
          <w:numId w:val="9"/>
        </w:numPr>
        <w:ind w:left="709" w:hanging="709"/>
        <w:jc w:val="both"/>
        <w:rPr>
          <w:rFonts w:ascii="Verdana" w:hAnsi="Verdana"/>
          <w:lang w:val="en-US"/>
        </w:rPr>
      </w:pPr>
      <w:r w:rsidRPr="005D495C">
        <w:rPr>
          <w:rFonts w:ascii="Verdana" w:hAnsi="Verdana"/>
          <w:lang w:val="en-US"/>
        </w:rPr>
        <w:t>The amounts should be reported positive if in line with its nature, e.g. cash-in flows related to premiums as positive and cash-out flows related to claims as positive as well</w:t>
      </w:r>
      <w:r w:rsidRPr="00710442">
        <w:rPr>
          <w:rFonts w:ascii="Verdana" w:hAnsi="Verdana"/>
          <w:lang w:val="en-US"/>
        </w:rPr>
        <w:t>:</w:t>
      </w:r>
    </w:p>
    <w:p w:rsidR="009B475C" w:rsidRPr="00710442" w:rsidRDefault="009B475C" w:rsidP="009B475C">
      <w:pPr>
        <w:pStyle w:val="ListParagraph"/>
        <w:numPr>
          <w:ilvl w:val="0"/>
          <w:numId w:val="13"/>
        </w:numPr>
        <w:jc w:val="both"/>
        <w:rPr>
          <w:rFonts w:ascii="Verdana" w:hAnsi="Verdana"/>
          <w:lang w:val="en-US"/>
        </w:rPr>
      </w:pPr>
      <w:r w:rsidRPr="00710442">
        <w:rPr>
          <w:rFonts w:ascii="Verdana" w:hAnsi="Verdana"/>
          <w:lang w:val="en-US"/>
        </w:rPr>
        <w:t>R0010/R0080:usually as positive (if cash-in as expected)</w:t>
      </w:r>
      <w:r w:rsidR="008C3D7D">
        <w:rPr>
          <w:rFonts w:ascii="Verdana" w:hAnsi="Verdana"/>
          <w:lang w:val="en-US"/>
        </w:rPr>
        <w:t xml:space="preserve"> </w:t>
      </w:r>
      <w:r w:rsidR="008C3D7D" w:rsidRPr="00BB09C7">
        <w:rPr>
          <w:rFonts w:ascii="Verdana" w:hAnsi="Verdana"/>
          <w:color w:val="FF0000"/>
          <w:lang w:val="en-US"/>
        </w:rPr>
        <w:t>(see also BV148 and BV149)</w:t>
      </w:r>
      <w:r w:rsidR="00791995" w:rsidRPr="00BB09C7">
        <w:rPr>
          <w:rFonts w:ascii="Verdana" w:hAnsi="Verdana"/>
          <w:color w:val="FF0000"/>
          <w:lang w:val="en-US"/>
        </w:rPr>
        <w:t>;</w:t>
      </w:r>
    </w:p>
    <w:p w:rsidR="009B475C" w:rsidRPr="00710442" w:rsidRDefault="009B475C" w:rsidP="009B475C">
      <w:pPr>
        <w:pStyle w:val="ListParagraph"/>
        <w:numPr>
          <w:ilvl w:val="0"/>
          <w:numId w:val="13"/>
        </w:numPr>
        <w:jc w:val="both"/>
        <w:rPr>
          <w:rFonts w:ascii="Verdana" w:hAnsi="Verdana"/>
          <w:lang w:val="en-US"/>
        </w:rPr>
      </w:pPr>
      <w:r w:rsidRPr="00710442">
        <w:rPr>
          <w:rFonts w:ascii="Verdana" w:hAnsi="Verdana"/>
          <w:lang w:val="en-US"/>
        </w:rPr>
        <w:t>R0020/R0090 and R0030/R0100: usually as positive (if cash-out as expected)</w:t>
      </w:r>
      <w:r w:rsidR="008C3D7D">
        <w:rPr>
          <w:rFonts w:ascii="Verdana" w:hAnsi="Verdana"/>
          <w:lang w:val="en-US"/>
        </w:rPr>
        <w:t xml:space="preserve"> </w:t>
      </w:r>
      <w:r w:rsidR="008C3D7D" w:rsidRPr="00BB09C7">
        <w:rPr>
          <w:rFonts w:ascii="Verdana" w:hAnsi="Verdana"/>
          <w:color w:val="FF0000"/>
          <w:lang w:val="en-US"/>
        </w:rPr>
        <w:t>(see also BV148 and BV149)</w:t>
      </w:r>
      <w:r w:rsidR="00791995" w:rsidRPr="00BB09C7">
        <w:rPr>
          <w:rFonts w:ascii="Verdana" w:hAnsi="Verdana"/>
          <w:color w:val="FF0000"/>
          <w:lang w:val="en-US"/>
        </w:rPr>
        <w:t>;</w:t>
      </w:r>
    </w:p>
    <w:p w:rsidR="009B475C" w:rsidRPr="00BB09C7" w:rsidRDefault="009B475C" w:rsidP="009B475C">
      <w:pPr>
        <w:pStyle w:val="ListParagraph"/>
        <w:numPr>
          <w:ilvl w:val="0"/>
          <w:numId w:val="13"/>
        </w:numPr>
        <w:jc w:val="both"/>
        <w:rPr>
          <w:rFonts w:ascii="Verdana" w:hAnsi="Verdana"/>
          <w:color w:val="FF0000"/>
          <w:lang w:val="en-US"/>
        </w:rPr>
      </w:pPr>
      <w:r w:rsidRPr="00710442">
        <w:rPr>
          <w:rFonts w:ascii="Verdana" w:hAnsi="Verdana"/>
          <w:lang w:val="en-US"/>
        </w:rPr>
        <w:t>R0040/R0110 and R0050/R0120: reductions of BE as negative</w:t>
      </w:r>
      <w:r w:rsidR="008C3D7D">
        <w:rPr>
          <w:rFonts w:ascii="Verdana" w:hAnsi="Verdana"/>
          <w:lang w:val="en-US"/>
        </w:rPr>
        <w:t xml:space="preserve"> </w:t>
      </w:r>
      <w:r w:rsidR="008C3D7D" w:rsidRPr="00BB09C7">
        <w:rPr>
          <w:rFonts w:ascii="Verdana" w:hAnsi="Verdana"/>
          <w:color w:val="FF0000"/>
          <w:lang w:val="en-US"/>
        </w:rPr>
        <w:t>(see also BV148 and BV149)</w:t>
      </w:r>
      <w:r w:rsidR="00791995" w:rsidRPr="00BB09C7">
        <w:rPr>
          <w:rFonts w:ascii="Verdana" w:hAnsi="Verdana"/>
          <w:color w:val="FF0000"/>
          <w:lang w:val="en-US"/>
        </w:rPr>
        <w:t>;</w:t>
      </w:r>
    </w:p>
    <w:p w:rsidR="009B475C" w:rsidRPr="00710442" w:rsidRDefault="009B475C" w:rsidP="009B475C">
      <w:pPr>
        <w:pStyle w:val="ListParagraph"/>
        <w:numPr>
          <w:ilvl w:val="0"/>
          <w:numId w:val="13"/>
        </w:numPr>
        <w:jc w:val="both"/>
        <w:rPr>
          <w:rFonts w:ascii="Verdana" w:hAnsi="Verdana"/>
          <w:lang w:val="en-US"/>
        </w:rPr>
      </w:pPr>
      <w:r w:rsidRPr="00710442">
        <w:rPr>
          <w:rFonts w:ascii="Verdana" w:hAnsi="Verdana"/>
          <w:lang w:val="en-US"/>
        </w:rPr>
        <w:t xml:space="preserve">R0060/R0130: </w:t>
      </w:r>
      <w:r w:rsidR="00DF0230">
        <w:rPr>
          <w:rFonts w:ascii="Verdana" w:hAnsi="Verdana"/>
          <w:lang w:val="en-US"/>
        </w:rPr>
        <w:t>contribut</w:t>
      </w:r>
      <w:r w:rsidR="00673B35">
        <w:rPr>
          <w:rFonts w:ascii="Verdana" w:hAnsi="Verdana"/>
          <w:lang w:val="en-US"/>
        </w:rPr>
        <w:t xml:space="preserve">ion </w:t>
      </w:r>
      <w:r w:rsidR="00DF0230">
        <w:rPr>
          <w:rFonts w:ascii="Verdana" w:hAnsi="Verdana"/>
          <w:lang w:val="en-US"/>
        </w:rPr>
        <w:t xml:space="preserve">to the increase of </w:t>
      </w:r>
      <w:r w:rsidR="0049106E">
        <w:rPr>
          <w:rFonts w:ascii="Verdana" w:hAnsi="Verdana"/>
          <w:lang w:val="en-US"/>
        </w:rPr>
        <w:t>EoAoL should be reporte</w:t>
      </w:r>
      <w:r w:rsidR="00DF0230">
        <w:rPr>
          <w:rFonts w:ascii="Verdana" w:hAnsi="Verdana"/>
          <w:lang w:val="en-US"/>
        </w:rPr>
        <w:t xml:space="preserve">d </w:t>
      </w:r>
      <w:r w:rsidR="00673B35">
        <w:rPr>
          <w:rFonts w:ascii="Verdana" w:hAnsi="Verdana"/>
          <w:lang w:val="en-US"/>
        </w:rPr>
        <w:t>as positive amount</w:t>
      </w:r>
      <w:r w:rsidR="00DF0230">
        <w:rPr>
          <w:rFonts w:ascii="Verdana" w:hAnsi="Verdana"/>
          <w:lang w:val="en-US"/>
        </w:rPr>
        <w:t xml:space="preserve"> (e.g. if BE reduces)</w:t>
      </w:r>
      <w:r w:rsidR="00791995">
        <w:rPr>
          <w:rFonts w:ascii="Verdana" w:hAnsi="Verdana"/>
          <w:lang w:val="en-US"/>
        </w:rPr>
        <w:t>.</w:t>
      </w:r>
    </w:p>
    <w:p w:rsidR="009B475C" w:rsidRDefault="009B475C" w:rsidP="009B475C">
      <w:pPr>
        <w:pStyle w:val="ListParagraph"/>
        <w:ind w:left="1429"/>
        <w:jc w:val="both"/>
        <w:rPr>
          <w:rFonts w:ascii="Verdana" w:hAnsi="Verdana"/>
          <w:lang w:val="en-US"/>
        </w:rPr>
      </w:pPr>
    </w:p>
    <w:p w:rsidR="009B475C" w:rsidRDefault="009B475C" w:rsidP="009B475C">
      <w:pPr>
        <w:pStyle w:val="ListParagraph"/>
        <w:numPr>
          <w:ilvl w:val="0"/>
          <w:numId w:val="9"/>
        </w:numPr>
        <w:ind w:left="709" w:hanging="709"/>
        <w:jc w:val="both"/>
        <w:rPr>
          <w:rFonts w:ascii="Verdana" w:hAnsi="Verdana"/>
          <w:lang w:val="en-US"/>
        </w:rPr>
      </w:pPr>
      <w:r>
        <w:rPr>
          <w:rFonts w:ascii="Verdana" w:hAnsi="Verdana"/>
          <w:lang w:val="en-US"/>
        </w:rPr>
        <w:t>T</w:t>
      </w:r>
      <w:r w:rsidRPr="007853BA">
        <w:rPr>
          <w:rFonts w:ascii="Verdana" w:hAnsi="Verdana"/>
          <w:lang w:val="en-US"/>
        </w:rPr>
        <w:t>he most important aspect of this template is to reflect as much as possible the analysis performed by the undertaking and to keep</w:t>
      </w:r>
      <w:r w:rsidRPr="008620C2">
        <w:rPr>
          <w:rFonts w:ascii="Verdana" w:hAnsi="Verdana"/>
          <w:lang w:val="en-US"/>
        </w:rPr>
        <w:t xml:space="preserve"> it consistently over time.</w:t>
      </w:r>
      <w:r w:rsidRPr="007853BA">
        <w:rPr>
          <w:rFonts w:ascii="Verdana" w:hAnsi="Verdana"/>
          <w:lang w:val="en-US"/>
        </w:rPr>
        <w:t xml:space="preserve"> In case of doubt insurance undertakings should contact their NSA.</w:t>
      </w:r>
    </w:p>
    <w:p w:rsidR="00BE0E8E" w:rsidRDefault="00BE0E8E" w:rsidP="00117899">
      <w:pPr>
        <w:pStyle w:val="ListParagraph"/>
        <w:ind w:left="709"/>
        <w:jc w:val="both"/>
        <w:rPr>
          <w:rFonts w:ascii="Verdana" w:hAnsi="Verdana"/>
          <w:lang w:val="en-US"/>
        </w:rPr>
      </w:pPr>
    </w:p>
    <w:p w:rsidR="009B475C" w:rsidRPr="00710442" w:rsidRDefault="009B475C" w:rsidP="009B475C">
      <w:pPr>
        <w:pStyle w:val="ListParagraph"/>
        <w:numPr>
          <w:ilvl w:val="0"/>
          <w:numId w:val="9"/>
        </w:numPr>
        <w:ind w:left="709" w:hanging="709"/>
        <w:jc w:val="both"/>
        <w:rPr>
          <w:rFonts w:ascii="Verdana" w:hAnsi="Verdana"/>
          <w:lang w:val="en-US"/>
        </w:rPr>
      </w:pPr>
      <w:r w:rsidRPr="00710442">
        <w:rPr>
          <w:rFonts w:ascii="Verdana" w:hAnsi="Verdana"/>
          <w:lang w:val="en-US"/>
        </w:rPr>
        <w:t xml:space="preserve">Please see </w:t>
      </w:r>
      <w:r w:rsidR="00013A62" w:rsidRPr="00AF7344">
        <w:rPr>
          <w:rFonts w:ascii="Verdana" w:hAnsi="Verdana"/>
          <w:lang w:val="en-US"/>
        </w:rPr>
        <w:t>proposal to correct/amend Instructions to be published by end of March</w:t>
      </w:r>
      <w:r w:rsidRPr="00710442">
        <w:rPr>
          <w:rFonts w:ascii="Verdana" w:hAnsi="Verdana"/>
          <w:lang w:val="en-US"/>
        </w:rPr>
        <w:t>.</w:t>
      </w:r>
    </w:p>
    <w:p w:rsidR="00BE740F" w:rsidRPr="00393CC3" w:rsidRDefault="00BE740F" w:rsidP="00BE740F">
      <w:pPr>
        <w:pStyle w:val="Heading1"/>
        <w:rPr>
          <w:rFonts w:ascii="Verdana" w:hAnsi="Verdana"/>
          <w:sz w:val="22"/>
          <w:szCs w:val="22"/>
          <w:lang w:val="en-US"/>
        </w:rPr>
      </w:pPr>
      <w:r w:rsidRPr="00393CC3">
        <w:rPr>
          <w:rFonts w:ascii="Verdana" w:hAnsi="Verdana"/>
          <w:sz w:val="22"/>
          <w:szCs w:val="22"/>
          <w:lang w:val="en-US"/>
        </w:rPr>
        <w:t>Q</w:t>
      </w:r>
      <w:r w:rsidR="006B1C48">
        <w:rPr>
          <w:rFonts w:ascii="Verdana" w:hAnsi="Verdana"/>
          <w:sz w:val="22"/>
          <w:szCs w:val="22"/>
          <w:lang w:val="en-US"/>
        </w:rPr>
        <w:t>uestions</w:t>
      </w:r>
      <w:r w:rsidRPr="00393CC3">
        <w:rPr>
          <w:rFonts w:ascii="Verdana" w:hAnsi="Verdana"/>
          <w:sz w:val="22"/>
          <w:szCs w:val="22"/>
          <w:lang w:val="en-US"/>
        </w:rPr>
        <w:t xml:space="preserve"> on </w:t>
      </w:r>
      <w:r>
        <w:rPr>
          <w:rFonts w:ascii="Verdana" w:hAnsi="Verdana"/>
          <w:sz w:val="22"/>
          <w:szCs w:val="22"/>
          <w:lang w:val="en-US"/>
        </w:rPr>
        <w:t>S.29.04</w:t>
      </w:r>
      <w:r w:rsidRPr="00393CC3">
        <w:rPr>
          <w:rFonts w:ascii="Verdana" w:hAnsi="Verdana"/>
          <w:sz w:val="22"/>
          <w:szCs w:val="22"/>
          <w:lang w:val="en-US"/>
        </w:rPr>
        <w:t xml:space="preserve"> - Excess of Assets over Liabilities</w:t>
      </w:r>
      <w:r>
        <w:rPr>
          <w:rFonts w:ascii="Verdana" w:hAnsi="Verdana"/>
          <w:sz w:val="22"/>
          <w:szCs w:val="22"/>
          <w:lang w:val="en-US"/>
        </w:rPr>
        <w:t xml:space="preserve"> </w:t>
      </w:r>
      <w:r w:rsidRPr="00393CC3">
        <w:rPr>
          <w:rFonts w:ascii="Verdana" w:hAnsi="Verdana"/>
          <w:sz w:val="22"/>
          <w:szCs w:val="22"/>
          <w:lang w:val="en-US"/>
        </w:rPr>
        <w:t>- explained by technical provisions</w:t>
      </w:r>
    </w:p>
    <w:p w:rsidR="00BE740F" w:rsidRDefault="009B475C" w:rsidP="00AD7EC0">
      <w:pPr>
        <w:pBdr>
          <w:top w:val="single" w:sz="4" w:space="1" w:color="auto"/>
          <w:left w:val="single" w:sz="4" w:space="4" w:color="auto"/>
          <w:bottom w:val="single" w:sz="4" w:space="0" w:color="auto"/>
          <w:right w:val="single" w:sz="4" w:space="4" w:color="auto"/>
        </w:pBdr>
        <w:tabs>
          <w:tab w:val="left" w:pos="2623"/>
        </w:tabs>
        <w:jc w:val="both"/>
        <w:rPr>
          <w:rFonts w:ascii="Verdana" w:hAnsi="Verdana"/>
          <w:b/>
          <w:lang w:val="en-US"/>
        </w:rPr>
      </w:pPr>
      <w:r>
        <w:rPr>
          <w:rFonts w:ascii="Verdana" w:hAnsi="Verdana"/>
          <w:b/>
          <w:lang w:val="en-US"/>
        </w:rPr>
        <w:t>Q</w:t>
      </w:r>
      <w:r w:rsidR="004E608F">
        <w:rPr>
          <w:rFonts w:ascii="Verdana" w:hAnsi="Verdana"/>
          <w:b/>
          <w:lang w:val="en-US"/>
        </w:rPr>
        <w:t>&amp;A</w:t>
      </w:r>
      <w:r w:rsidR="00B56F8D">
        <w:rPr>
          <w:rFonts w:ascii="Verdana" w:hAnsi="Verdana"/>
          <w:b/>
          <w:lang w:val="en-US"/>
        </w:rPr>
        <w:t xml:space="preserve"> </w:t>
      </w:r>
      <w:r w:rsidR="004E608F">
        <w:rPr>
          <w:rFonts w:ascii="Verdana" w:hAnsi="Verdana"/>
          <w:b/>
          <w:lang w:val="en-US"/>
        </w:rPr>
        <w:t>1093</w:t>
      </w:r>
      <w:r w:rsidR="00BE740F" w:rsidRPr="003E6AEE">
        <w:rPr>
          <w:rFonts w:ascii="Verdana" w:hAnsi="Verdana"/>
          <w:b/>
          <w:lang w:val="en-US"/>
        </w:rPr>
        <w:t>:</w:t>
      </w:r>
    </w:p>
    <w:p w:rsidR="00BE740F" w:rsidRPr="00AD7EC0" w:rsidRDefault="00BE740F" w:rsidP="00AD7EC0">
      <w:pPr>
        <w:pBdr>
          <w:top w:val="single" w:sz="4" w:space="1" w:color="auto"/>
          <w:left w:val="single" w:sz="4" w:space="4" w:color="auto"/>
          <w:bottom w:val="single" w:sz="4" w:space="0" w:color="auto"/>
          <w:right w:val="single" w:sz="4" w:space="4" w:color="auto"/>
        </w:pBdr>
        <w:tabs>
          <w:tab w:val="left" w:pos="2623"/>
        </w:tabs>
        <w:jc w:val="both"/>
        <w:rPr>
          <w:rFonts w:ascii="Verdana" w:hAnsi="Verdana"/>
          <w:lang w:val="en-US"/>
        </w:rPr>
      </w:pPr>
      <w:r w:rsidRPr="00AD7EC0">
        <w:rPr>
          <w:rFonts w:ascii="Verdana" w:hAnsi="Verdana"/>
          <w:lang w:val="en-US"/>
        </w:rPr>
        <w:t>The first question is, should we be able to reconcile the totals in R0070 of S.29.04 to anything in S.29.03? The way it is set up, I think we should be able to reconcile to cell R0360/C0120 in S.29.03, however the current approach given in the log file means this doesn’t work.</w:t>
      </w:r>
    </w:p>
    <w:p w:rsidR="00BE740F" w:rsidRPr="00AD7EC0" w:rsidRDefault="00BE740F" w:rsidP="00AD7EC0">
      <w:pPr>
        <w:pBdr>
          <w:top w:val="single" w:sz="4" w:space="1" w:color="auto"/>
          <w:left w:val="single" w:sz="4" w:space="4" w:color="auto"/>
          <w:bottom w:val="single" w:sz="4" w:space="0" w:color="auto"/>
          <w:right w:val="single" w:sz="4" w:space="4" w:color="auto"/>
        </w:pBdr>
        <w:tabs>
          <w:tab w:val="left" w:pos="2623"/>
        </w:tabs>
        <w:jc w:val="both"/>
        <w:rPr>
          <w:rFonts w:ascii="Verdana" w:hAnsi="Verdana"/>
          <w:lang w:val="en-US"/>
        </w:rPr>
      </w:pPr>
      <w:r w:rsidRPr="00AD7EC0">
        <w:rPr>
          <w:rFonts w:ascii="Verdana" w:hAnsi="Verdana"/>
          <w:lang w:val="en-US"/>
        </w:rPr>
        <w:t>Assuming we should be able to reconcile – why is C0020/R0040 in S.29.04 restricted to pick up solely C0010/R0070 and C0020/R0070 from S.29.03? The row R0040 in S.29.04 is headed “Variation of Best Estimate”, which should surely contain everything in S.29.03 between rows R0020 and R0110; R0060 is risks accepted during the period, the rest is movements in risks accepted prior to the period.</w:t>
      </w:r>
    </w:p>
    <w:p w:rsidR="00BE740F" w:rsidRPr="00AD7EC0" w:rsidRDefault="00BE740F" w:rsidP="00AD7EC0">
      <w:pPr>
        <w:pBdr>
          <w:top w:val="single" w:sz="4" w:space="1" w:color="auto"/>
          <w:left w:val="single" w:sz="4" w:space="4" w:color="auto"/>
          <w:bottom w:val="single" w:sz="4" w:space="0" w:color="auto"/>
          <w:right w:val="single" w:sz="4" w:space="4" w:color="auto"/>
        </w:pBdr>
        <w:tabs>
          <w:tab w:val="left" w:pos="2623"/>
        </w:tabs>
        <w:jc w:val="both"/>
        <w:rPr>
          <w:rFonts w:ascii="Verdana" w:hAnsi="Verdana"/>
          <w:lang w:val="en-US"/>
        </w:rPr>
      </w:pPr>
      <w:r w:rsidRPr="00AD7EC0">
        <w:rPr>
          <w:rFonts w:ascii="Verdana" w:hAnsi="Verdana"/>
          <w:lang w:val="en-US"/>
        </w:rPr>
        <w:t>All the other rows can be reconciled:</w:t>
      </w:r>
    </w:p>
    <w:p w:rsidR="00BE740F" w:rsidRPr="00AD7EC0" w:rsidRDefault="00BE740F" w:rsidP="00AD7EC0">
      <w:pPr>
        <w:pBdr>
          <w:top w:val="single" w:sz="4" w:space="1" w:color="auto"/>
          <w:left w:val="single" w:sz="4" w:space="4" w:color="auto"/>
          <w:bottom w:val="single" w:sz="4" w:space="0" w:color="auto"/>
          <w:right w:val="single" w:sz="4" w:space="4" w:color="auto"/>
        </w:pBdr>
        <w:tabs>
          <w:tab w:val="left" w:pos="2623"/>
        </w:tabs>
        <w:jc w:val="both"/>
        <w:rPr>
          <w:rFonts w:ascii="Verdana" w:hAnsi="Verdana"/>
          <w:lang w:val="en-US"/>
        </w:rPr>
      </w:pPr>
      <w:r w:rsidRPr="00AD7EC0">
        <w:rPr>
          <w:rFonts w:ascii="Verdana" w:hAnsi="Verdana"/>
          <w:lang w:val="en-US"/>
        </w:rPr>
        <w:t>o R0010 in S.29.04 matches R0310 in S.29.03</w:t>
      </w:r>
    </w:p>
    <w:p w:rsidR="00BE740F" w:rsidRPr="00AD7EC0" w:rsidRDefault="00BE740F" w:rsidP="00AD7EC0">
      <w:pPr>
        <w:pBdr>
          <w:top w:val="single" w:sz="4" w:space="1" w:color="auto"/>
          <w:left w:val="single" w:sz="4" w:space="4" w:color="auto"/>
          <w:bottom w:val="single" w:sz="4" w:space="0" w:color="auto"/>
          <w:right w:val="single" w:sz="4" w:space="4" w:color="auto"/>
        </w:pBdr>
        <w:tabs>
          <w:tab w:val="left" w:pos="2623"/>
        </w:tabs>
        <w:jc w:val="both"/>
        <w:rPr>
          <w:rFonts w:ascii="Verdana" w:hAnsi="Verdana"/>
          <w:lang w:val="en-US"/>
        </w:rPr>
      </w:pPr>
      <w:r w:rsidRPr="00AD7EC0">
        <w:rPr>
          <w:rFonts w:ascii="Verdana" w:hAnsi="Verdana"/>
          <w:lang w:val="en-US"/>
        </w:rPr>
        <w:t>o R0020 in S.29.04 matches R0320 in S.29.03</w:t>
      </w:r>
    </w:p>
    <w:p w:rsidR="00BE740F" w:rsidRPr="00AD7EC0" w:rsidRDefault="00BE740F" w:rsidP="00AD7EC0">
      <w:pPr>
        <w:pBdr>
          <w:top w:val="single" w:sz="4" w:space="1" w:color="auto"/>
          <w:left w:val="single" w:sz="4" w:space="4" w:color="auto"/>
          <w:bottom w:val="single" w:sz="4" w:space="0" w:color="auto"/>
          <w:right w:val="single" w:sz="4" w:space="4" w:color="auto"/>
        </w:pBdr>
        <w:tabs>
          <w:tab w:val="left" w:pos="2623"/>
        </w:tabs>
        <w:jc w:val="both"/>
        <w:rPr>
          <w:rFonts w:ascii="Verdana" w:hAnsi="Verdana"/>
          <w:lang w:val="en-US"/>
        </w:rPr>
      </w:pPr>
      <w:r w:rsidRPr="00AD7EC0">
        <w:rPr>
          <w:rFonts w:ascii="Verdana" w:hAnsi="Verdana"/>
          <w:lang w:val="en-US"/>
        </w:rPr>
        <w:t>o R0030 in S.29.04 matches R0330 in S.29.03</w:t>
      </w:r>
    </w:p>
    <w:p w:rsidR="00BE740F" w:rsidRPr="00AD7EC0" w:rsidRDefault="00BE740F" w:rsidP="00AD7EC0">
      <w:pPr>
        <w:pBdr>
          <w:top w:val="single" w:sz="4" w:space="1" w:color="auto"/>
          <w:left w:val="single" w:sz="4" w:space="4" w:color="auto"/>
          <w:bottom w:val="single" w:sz="4" w:space="0" w:color="auto"/>
          <w:right w:val="single" w:sz="4" w:space="4" w:color="auto"/>
        </w:pBdr>
        <w:tabs>
          <w:tab w:val="left" w:pos="2623"/>
        </w:tabs>
        <w:jc w:val="both"/>
        <w:rPr>
          <w:rFonts w:ascii="Verdana" w:hAnsi="Verdana"/>
          <w:lang w:val="en-US"/>
        </w:rPr>
      </w:pPr>
      <w:r w:rsidRPr="00AD7EC0">
        <w:rPr>
          <w:rFonts w:ascii="Verdana" w:hAnsi="Verdana"/>
          <w:lang w:val="en-US"/>
        </w:rPr>
        <w:t>o R0060 in S.29.04 matches R0300 in S.29.03</w:t>
      </w:r>
    </w:p>
    <w:p w:rsidR="003E2030" w:rsidRDefault="00BE740F" w:rsidP="00AD7EC0">
      <w:pPr>
        <w:pBdr>
          <w:top w:val="single" w:sz="4" w:space="1" w:color="auto"/>
          <w:left w:val="single" w:sz="4" w:space="4" w:color="auto"/>
          <w:bottom w:val="single" w:sz="4" w:space="0" w:color="auto"/>
          <w:right w:val="single" w:sz="4" w:space="4" w:color="auto"/>
        </w:pBdr>
        <w:tabs>
          <w:tab w:val="left" w:pos="2623"/>
        </w:tabs>
        <w:jc w:val="both"/>
        <w:rPr>
          <w:rFonts w:ascii="Verdana" w:hAnsi="Verdana"/>
          <w:lang w:val="en-US"/>
        </w:rPr>
      </w:pPr>
      <w:r w:rsidRPr="00AD7EC0">
        <w:rPr>
          <w:rFonts w:ascii="Verdana" w:hAnsi="Verdana"/>
          <w:lang w:val="en-US"/>
        </w:rPr>
        <w:t>- There is only one further exception; we need to populate R0050 with the movement in Risk Margin so we can reconcile exactly. R0360 in S.29.03 is the total movement in technical provisions, whereas all of the movements in S.29.04 so far are movements in best estimate.</w:t>
      </w:r>
    </w:p>
    <w:p w:rsidR="00BE740F" w:rsidRDefault="00BE740F" w:rsidP="00AD7EC0">
      <w:pPr>
        <w:pBdr>
          <w:top w:val="single" w:sz="4" w:space="1" w:color="auto"/>
          <w:left w:val="single" w:sz="4" w:space="4" w:color="auto"/>
          <w:bottom w:val="single" w:sz="4" w:space="0" w:color="auto"/>
          <w:right w:val="single" w:sz="4" w:space="4" w:color="auto"/>
        </w:pBdr>
        <w:tabs>
          <w:tab w:val="left" w:pos="2623"/>
        </w:tabs>
        <w:jc w:val="both"/>
        <w:rPr>
          <w:rFonts w:ascii="Verdana" w:hAnsi="Verdana"/>
          <w:lang w:val="en-US"/>
        </w:rPr>
      </w:pPr>
      <w:r w:rsidRPr="00AD7EC0">
        <w:rPr>
          <w:rFonts w:ascii="Verdana" w:hAnsi="Verdana"/>
          <w:lang w:val="en-US"/>
        </w:rPr>
        <w:tab/>
      </w:r>
    </w:p>
    <w:p w:rsidR="009B475C" w:rsidRPr="00710442" w:rsidRDefault="009B475C" w:rsidP="00AD7EC0">
      <w:pPr>
        <w:pBdr>
          <w:top w:val="single" w:sz="4" w:space="1" w:color="auto"/>
          <w:left w:val="single" w:sz="4" w:space="4" w:color="auto"/>
          <w:bottom w:val="single" w:sz="4" w:space="0" w:color="auto"/>
          <w:right w:val="single" w:sz="4" w:space="4" w:color="auto"/>
        </w:pBdr>
        <w:tabs>
          <w:tab w:val="left" w:pos="2623"/>
        </w:tabs>
        <w:jc w:val="both"/>
        <w:rPr>
          <w:rFonts w:ascii="Verdana" w:hAnsi="Verdana"/>
          <w:b/>
          <w:lang w:val="en-US"/>
        </w:rPr>
      </w:pPr>
      <w:r w:rsidRPr="00710442">
        <w:rPr>
          <w:rFonts w:ascii="Verdana" w:hAnsi="Verdana"/>
          <w:b/>
          <w:lang w:val="en-US"/>
        </w:rPr>
        <w:t>Answer:</w:t>
      </w:r>
    </w:p>
    <w:p w:rsidR="004E38AA" w:rsidRPr="00AD7EC0" w:rsidRDefault="009B475C" w:rsidP="004E38AA">
      <w:pPr>
        <w:pBdr>
          <w:top w:val="single" w:sz="4" w:space="1" w:color="auto"/>
          <w:left w:val="single" w:sz="4" w:space="4" w:color="auto"/>
          <w:bottom w:val="single" w:sz="4" w:space="0" w:color="auto"/>
          <w:right w:val="single" w:sz="4" w:space="4" w:color="auto"/>
        </w:pBdr>
        <w:tabs>
          <w:tab w:val="left" w:pos="2623"/>
        </w:tabs>
        <w:jc w:val="both"/>
        <w:rPr>
          <w:rFonts w:ascii="Verdana" w:hAnsi="Verdana"/>
          <w:lang w:val="en-US"/>
        </w:rPr>
      </w:pPr>
      <w:r>
        <w:rPr>
          <w:rFonts w:ascii="Verdana" w:hAnsi="Verdana"/>
          <w:lang w:val="en-US"/>
        </w:rPr>
        <w:t xml:space="preserve">Your analysis is </w:t>
      </w:r>
      <w:r w:rsidR="004E38AA">
        <w:rPr>
          <w:rFonts w:ascii="Verdana" w:hAnsi="Verdana"/>
          <w:lang w:val="en-US"/>
        </w:rPr>
        <w:t xml:space="preserve">partly </w:t>
      </w:r>
      <w:r>
        <w:rPr>
          <w:rFonts w:ascii="Verdana" w:hAnsi="Verdana"/>
          <w:lang w:val="en-US"/>
        </w:rPr>
        <w:t xml:space="preserve">correct. </w:t>
      </w:r>
      <w:r w:rsidR="00127CBE">
        <w:rPr>
          <w:rFonts w:ascii="Verdana" w:hAnsi="Verdana"/>
          <w:lang w:val="en-US"/>
        </w:rPr>
        <w:t>The f</w:t>
      </w:r>
      <w:r w:rsidR="004E38AA">
        <w:rPr>
          <w:rFonts w:ascii="Verdana" w:hAnsi="Verdana"/>
          <w:lang w:val="en-US"/>
        </w:rPr>
        <w:t>ollowing</w:t>
      </w:r>
      <w:r w:rsidR="004E38AA" w:rsidRPr="00AD7EC0">
        <w:rPr>
          <w:rFonts w:ascii="Verdana" w:hAnsi="Verdana"/>
          <w:lang w:val="en-US"/>
        </w:rPr>
        <w:t xml:space="preserve"> rows can be reconciled:</w:t>
      </w:r>
    </w:p>
    <w:p w:rsidR="004E38AA" w:rsidRPr="00FB576E" w:rsidRDefault="004E38AA" w:rsidP="004E38AA">
      <w:pPr>
        <w:pBdr>
          <w:top w:val="single" w:sz="4" w:space="1" w:color="auto"/>
          <w:left w:val="single" w:sz="4" w:space="4" w:color="auto"/>
          <w:bottom w:val="single" w:sz="4" w:space="0" w:color="auto"/>
          <w:right w:val="single" w:sz="4" w:space="4" w:color="auto"/>
        </w:pBdr>
        <w:tabs>
          <w:tab w:val="left" w:pos="2623"/>
        </w:tabs>
        <w:jc w:val="both"/>
        <w:rPr>
          <w:rFonts w:ascii="Verdana" w:hAnsi="Verdana"/>
          <w:lang w:val="en-US"/>
        </w:rPr>
      </w:pPr>
      <w:r w:rsidRPr="00FB576E">
        <w:rPr>
          <w:rFonts w:ascii="Verdana" w:hAnsi="Verdana"/>
          <w:lang w:val="en-US"/>
        </w:rPr>
        <w:t>o R0010</w:t>
      </w:r>
      <w:r w:rsidR="00EB4D42" w:rsidRPr="00117899">
        <w:rPr>
          <w:rFonts w:ascii="Verdana" w:hAnsi="Verdana"/>
          <w:lang w:val="en-US"/>
        </w:rPr>
        <w:t xml:space="preserve"> and </w:t>
      </w:r>
      <w:r w:rsidR="00127CBE" w:rsidRPr="00FB576E">
        <w:rPr>
          <w:rFonts w:ascii="Verdana" w:hAnsi="Verdana"/>
          <w:lang w:val="en-US"/>
        </w:rPr>
        <w:t>R0080</w:t>
      </w:r>
      <w:r w:rsidRPr="00FB576E">
        <w:rPr>
          <w:rFonts w:ascii="Verdana" w:hAnsi="Verdana"/>
          <w:lang w:val="en-US"/>
        </w:rPr>
        <w:t xml:space="preserve"> in S.29.04 </w:t>
      </w:r>
      <w:r w:rsidRPr="00117899">
        <w:rPr>
          <w:rFonts w:ascii="Verdana" w:hAnsi="Verdana"/>
          <w:lang w:val="en-US"/>
        </w:rPr>
        <w:t xml:space="preserve">matches </w:t>
      </w:r>
      <w:r w:rsidR="00127CBE" w:rsidRPr="00117899">
        <w:rPr>
          <w:rFonts w:ascii="Verdana" w:hAnsi="Verdana"/>
          <w:lang w:val="en-US"/>
        </w:rPr>
        <w:t>S.29.03.</w:t>
      </w:r>
      <w:r w:rsidRPr="00FB576E">
        <w:rPr>
          <w:rFonts w:ascii="Verdana" w:hAnsi="Verdana"/>
          <w:lang w:val="en-US"/>
        </w:rPr>
        <w:t>R0310</w:t>
      </w:r>
      <w:r w:rsidR="00127CBE" w:rsidRPr="00117899">
        <w:rPr>
          <w:rFonts w:ascii="Verdana" w:hAnsi="Verdana"/>
          <w:lang w:val="en-US"/>
        </w:rPr>
        <w:t>;</w:t>
      </w:r>
    </w:p>
    <w:p w:rsidR="004E38AA" w:rsidRPr="00FB576E" w:rsidRDefault="004E38AA" w:rsidP="004E38AA">
      <w:pPr>
        <w:pBdr>
          <w:top w:val="single" w:sz="4" w:space="1" w:color="auto"/>
          <w:left w:val="single" w:sz="4" w:space="4" w:color="auto"/>
          <w:bottom w:val="single" w:sz="4" w:space="0" w:color="auto"/>
          <w:right w:val="single" w:sz="4" w:space="4" w:color="auto"/>
        </w:pBdr>
        <w:tabs>
          <w:tab w:val="left" w:pos="2623"/>
        </w:tabs>
        <w:jc w:val="both"/>
        <w:rPr>
          <w:rFonts w:ascii="Verdana" w:hAnsi="Verdana"/>
          <w:lang w:val="en-US"/>
        </w:rPr>
      </w:pPr>
      <w:r w:rsidRPr="00FB576E">
        <w:rPr>
          <w:rFonts w:ascii="Verdana" w:hAnsi="Verdana"/>
          <w:lang w:val="en-US"/>
        </w:rPr>
        <w:t>o R0020</w:t>
      </w:r>
      <w:r w:rsidR="00EB4D42" w:rsidRPr="00117899">
        <w:rPr>
          <w:rFonts w:ascii="Verdana" w:hAnsi="Verdana"/>
          <w:lang w:val="en-US"/>
        </w:rPr>
        <w:t xml:space="preserve"> and </w:t>
      </w:r>
      <w:r w:rsidR="00127CBE" w:rsidRPr="00FB576E">
        <w:rPr>
          <w:rFonts w:ascii="Verdana" w:hAnsi="Verdana"/>
          <w:lang w:val="en-US"/>
        </w:rPr>
        <w:t>R0090</w:t>
      </w:r>
      <w:r w:rsidRPr="00FB576E">
        <w:rPr>
          <w:rFonts w:ascii="Verdana" w:hAnsi="Verdana"/>
          <w:lang w:val="en-US"/>
        </w:rPr>
        <w:t xml:space="preserve"> in S.29.04 </w:t>
      </w:r>
      <w:r w:rsidRPr="00117899">
        <w:rPr>
          <w:rFonts w:ascii="Verdana" w:hAnsi="Verdana"/>
          <w:lang w:val="en-US"/>
        </w:rPr>
        <w:t xml:space="preserve">matches </w:t>
      </w:r>
      <w:r w:rsidR="00127CBE" w:rsidRPr="00FB576E">
        <w:rPr>
          <w:rFonts w:ascii="Verdana" w:hAnsi="Verdana"/>
          <w:lang w:val="en-US"/>
        </w:rPr>
        <w:t>S.29.03.</w:t>
      </w:r>
      <w:r w:rsidRPr="00FB576E">
        <w:rPr>
          <w:rFonts w:ascii="Verdana" w:hAnsi="Verdana"/>
          <w:lang w:val="en-US"/>
        </w:rPr>
        <w:t>R0320</w:t>
      </w:r>
      <w:r w:rsidR="00127CBE" w:rsidRPr="00117899">
        <w:rPr>
          <w:rFonts w:ascii="Verdana" w:hAnsi="Verdana"/>
          <w:lang w:val="en-US"/>
        </w:rPr>
        <w:t>;</w:t>
      </w:r>
    </w:p>
    <w:p w:rsidR="004E38AA" w:rsidRPr="00FB576E" w:rsidRDefault="004E38AA" w:rsidP="004E38AA">
      <w:pPr>
        <w:pBdr>
          <w:top w:val="single" w:sz="4" w:space="1" w:color="auto"/>
          <w:left w:val="single" w:sz="4" w:space="4" w:color="auto"/>
          <w:bottom w:val="single" w:sz="4" w:space="0" w:color="auto"/>
          <w:right w:val="single" w:sz="4" w:space="4" w:color="auto"/>
        </w:pBdr>
        <w:tabs>
          <w:tab w:val="left" w:pos="2623"/>
        </w:tabs>
        <w:jc w:val="both"/>
        <w:rPr>
          <w:rFonts w:ascii="Verdana" w:hAnsi="Verdana"/>
          <w:lang w:val="en-US"/>
        </w:rPr>
      </w:pPr>
      <w:r w:rsidRPr="00FB576E">
        <w:rPr>
          <w:rFonts w:ascii="Verdana" w:hAnsi="Verdana"/>
          <w:lang w:val="en-US"/>
        </w:rPr>
        <w:t>o R0030</w:t>
      </w:r>
      <w:r w:rsidR="00EB4D42" w:rsidRPr="00117899">
        <w:rPr>
          <w:rFonts w:ascii="Verdana" w:hAnsi="Verdana"/>
          <w:lang w:val="en-US"/>
        </w:rPr>
        <w:t xml:space="preserve"> and </w:t>
      </w:r>
      <w:r w:rsidR="00127CBE" w:rsidRPr="00FB576E">
        <w:rPr>
          <w:rFonts w:ascii="Verdana" w:hAnsi="Verdana"/>
          <w:lang w:val="en-US"/>
        </w:rPr>
        <w:t>R0100</w:t>
      </w:r>
      <w:r w:rsidRPr="00FB576E">
        <w:rPr>
          <w:rFonts w:ascii="Verdana" w:hAnsi="Verdana"/>
          <w:lang w:val="en-US"/>
        </w:rPr>
        <w:t xml:space="preserve"> in S.29.04 </w:t>
      </w:r>
      <w:r w:rsidRPr="00117899">
        <w:rPr>
          <w:rFonts w:ascii="Verdana" w:hAnsi="Verdana"/>
          <w:lang w:val="en-US"/>
        </w:rPr>
        <w:t xml:space="preserve">matches </w:t>
      </w:r>
      <w:r w:rsidR="00127CBE" w:rsidRPr="00FB576E">
        <w:rPr>
          <w:rFonts w:ascii="Verdana" w:hAnsi="Verdana"/>
          <w:lang w:val="en-US"/>
        </w:rPr>
        <w:t>S.29.03.</w:t>
      </w:r>
      <w:r w:rsidRPr="00FB576E">
        <w:rPr>
          <w:rFonts w:ascii="Verdana" w:hAnsi="Verdana"/>
          <w:lang w:val="en-US"/>
        </w:rPr>
        <w:t>R0330</w:t>
      </w:r>
      <w:r w:rsidR="00127CBE" w:rsidRPr="00117899">
        <w:rPr>
          <w:rFonts w:ascii="Verdana" w:hAnsi="Verdana"/>
          <w:lang w:val="en-US"/>
        </w:rPr>
        <w:t>;</w:t>
      </w:r>
    </w:p>
    <w:p w:rsidR="004E38AA" w:rsidRPr="00117899" w:rsidRDefault="004E38AA" w:rsidP="004E38AA">
      <w:pPr>
        <w:pBdr>
          <w:top w:val="single" w:sz="4" w:space="1" w:color="auto"/>
          <w:left w:val="single" w:sz="4" w:space="4" w:color="auto"/>
          <w:bottom w:val="single" w:sz="4" w:space="0" w:color="auto"/>
          <w:right w:val="single" w:sz="4" w:space="4" w:color="auto"/>
        </w:pBdr>
        <w:tabs>
          <w:tab w:val="left" w:pos="2623"/>
        </w:tabs>
        <w:jc w:val="both"/>
        <w:rPr>
          <w:rFonts w:ascii="Verdana" w:hAnsi="Verdana"/>
          <w:lang w:val="en-GB"/>
        </w:rPr>
      </w:pPr>
      <w:r w:rsidRPr="00117899">
        <w:rPr>
          <w:rFonts w:ascii="Verdana" w:hAnsi="Verdana"/>
          <w:lang w:val="en-GB"/>
        </w:rPr>
        <w:t>o R0060</w:t>
      </w:r>
      <w:r w:rsidR="00EB4D42" w:rsidRPr="00117899">
        <w:rPr>
          <w:rFonts w:ascii="Verdana" w:hAnsi="Verdana"/>
          <w:lang w:val="en-GB"/>
        </w:rPr>
        <w:t xml:space="preserve"> and </w:t>
      </w:r>
      <w:r w:rsidR="00127CBE" w:rsidRPr="00117899">
        <w:rPr>
          <w:rFonts w:ascii="Verdana" w:hAnsi="Verdana"/>
          <w:lang w:val="en-GB"/>
        </w:rPr>
        <w:t>R0130</w:t>
      </w:r>
      <w:r w:rsidRPr="00117899">
        <w:rPr>
          <w:rFonts w:ascii="Verdana" w:hAnsi="Verdana"/>
          <w:lang w:val="en-GB"/>
        </w:rPr>
        <w:t xml:space="preserve"> in S.29.04 </w:t>
      </w:r>
      <w:r w:rsidRPr="00117899">
        <w:rPr>
          <w:rFonts w:ascii="Verdana" w:hAnsi="Verdana"/>
          <w:lang w:val="en-US"/>
        </w:rPr>
        <w:t xml:space="preserve">matches </w:t>
      </w:r>
      <w:r w:rsidR="00127CBE" w:rsidRPr="00117899">
        <w:rPr>
          <w:rFonts w:ascii="Verdana" w:hAnsi="Verdana"/>
          <w:lang w:val="en-GB"/>
        </w:rPr>
        <w:t>S.29.03.</w:t>
      </w:r>
      <w:r w:rsidRPr="00117899">
        <w:rPr>
          <w:rFonts w:ascii="Verdana" w:hAnsi="Verdana"/>
          <w:lang w:val="en-GB"/>
        </w:rPr>
        <w:t>R0300</w:t>
      </w:r>
      <w:r w:rsidR="00127CBE" w:rsidRPr="00117899">
        <w:rPr>
          <w:rFonts w:ascii="Verdana" w:hAnsi="Verdana"/>
          <w:lang w:val="en-GB"/>
        </w:rPr>
        <w:t xml:space="preserve"> (but please see new meaning)</w:t>
      </w:r>
      <w:r w:rsidR="00127CBE">
        <w:rPr>
          <w:rFonts w:ascii="Verdana" w:hAnsi="Verdana"/>
          <w:lang w:val="en-GB"/>
        </w:rPr>
        <w:t>.</w:t>
      </w:r>
    </w:p>
    <w:p w:rsidR="009B475C" w:rsidRDefault="00127CBE" w:rsidP="00AD7EC0">
      <w:pPr>
        <w:pBdr>
          <w:top w:val="single" w:sz="4" w:space="1" w:color="auto"/>
          <w:left w:val="single" w:sz="4" w:space="4" w:color="auto"/>
          <w:bottom w:val="single" w:sz="4" w:space="0" w:color="auto"/>
          <w:right w:val="single" w:sz="4" w:space="4" w:color="auto"/>
        </w:pBdr>
        <w:tabs>
          <w:tab w:val="left" w:pos="2623"/>
        </w:tabs>
        <w:jc w:val="both"/>
        <w:rPr>
          <w:rFonts w:ascii="Verdana" w:hAnsi="Verdana"/>
          <w:lang w:val="en-US"/>
        </w:rPr>
      </w:pPr>
      <w:r>
        <w:rPr>
          <w:rFonts w:ascii="Verdana" w:hAnsi="Verdana"/>
          <w:lang w:val="en-US"/>
        </w:rPr>
        <w:t>S.29.04.</w:t>
      </w:r>
      <w:r w:rsidR="004E38AA">
        <w:rPr>
          <w:rFonts w:ascii="Verdana" w:hAnsi="Verdana"/>
          <w:lang w:val="en-US"/>
        </w:rPr>
        <w:t>R0040</w:t>
      </w:r>
      <w:r>
        <w:rPr>
          <w:rFonts w:ascii="Verdana" w:hAnsi="Verdana"/>
          <w:lang w:val="en-US"/>
        </w:rPr>
        <w:t>/</w:t>
      </w:r>
      <w:r w:rsidR="004E38AA">
        <w:rPr>
          <w:rFonts w:ascii="Verdana" w:hAnsi="Verdana"/>
          <w:lang w:val="en-US"/>
        </w:rPr>
        <w:t xml:space="preserve">R0110 </w:t>
      </w:r>
      <w:r>
        <w:rPr>
          <w:rFonts w:ascii="Verdana" w:hAnsi="Verdana"/>
          <w:lang w:val="en-US"/>
        </w:rPr>
        <w:t>does not reflect the total variation of the best estimate. P</w:t>
      </w:r>
      <w:r w:rsidR="009B475C">
        <w:rPr>
          <w:rFonts w:ascii="Verdana" w:hAnsi="Verdana"/>
          <w:lang w:val="en-US"/>
        </w:rPr>
        <w:t xml:space="preserve">lease see </w:t>
      </w:r>
      <w:r>
        <w:rPr>
          <w:rFonts w:ascii="Verdana" w:hAnsi="Verdana"/>
          <w:lang w:val="en-US"/>
        </w:rPr>
        <w:t xml:space="preserve">clarification above and </w:t>
      </w:r>
      <w:r w:rsidR="009B475C">
        <w:rPr>
          <w:rFonts w:ascii="Verdana" w:hAnsi="Verdana"/>
          <w:lang w:val="en-US"/>
        </w:rPr>
        <w:t xml:space="preserve">the proposed </w:t>
      </w:r>
      <w:r w:rsidR="00013A62" w:rsidRPr="00AF7344">
        <w:rPr>
          <w:rFonts w:ascii="Verdana" w:hAnsi="Verdana"/>
          <w:lang w:val="en-US"/>
        </w:rPr>
        <w:t>proposal to correct/amend Instructions to be published by end of March</w:t>
      </w:r>
      <w:r w:rsidR="00A62F25">
        <w:rPr>
          <w:rFonts w:ascii="Verdana" w:hAnsi="Verdana"/>
          <w:lang w:val="en-US"/>
        </w:rPr>
        <w:t>.</w:t>
      </w:r>
      <w:r w:rsidR="00230A4C">
        <w:rPr>
          <w:rFonts w:ascii="Verdana" w:hAnsi="Verdana"/>
          <w:lang w:val="en-US"/>
        </w:rPr>
        <w:t xml:space="preserve"> </w:t>
      </w:r>
    </w:p>
    <w:p w:rsidR="00AB6F2D" w:rsidRPr="005D495C" w:rsidRDefault="00230A4C" w:rsidP="00AD7EC0">
      <w:pPr>
        <w:pBdr>
          <w:top w:val="single" w:sz="4" w:space="1" w:color="auto"/>
          <w:left w:val="single" w:sz="4" w:space="4" w:color="auto"/>
          <w:bottom w:val="single" w:sz="4" w:space="0" w:color="auto"/>
          <w:right w:val="single" w:sz="4" w:space="4" w:color="auto"/>
        </w:pBdr>
        <w:tabs>
          <w:tab w:val="left" w:pos="2623"/>
        </w:tabs>
        <w:jc w:val="both"/>
        <w:rPr>
          <w:rFonts w:ascii="Verdana" w:hAnsi="Verdana"/>
          <w:lang w:val="en-US"/>
        </w:rPr>
      </w:pPr>
      <w:r>
        <w:rPr>
          <w:rFonts w:ascii="Verdana" w:hAnsi="Verdana"/>
          <w:lang w:val="en-US"/>
        </w:rPr>
        <w:t>Regarding the Risk Margin, the amount should not be reported in S.29.04</w:t>
      </w:r>
      <w:r w:rsidR="005F1058">
        <w:rPr>
          <w:rFonts w:ascii="Verdana" w:hAnsi="Verdana"/>
          <w:lang w:val="en-US"/>
        </w:rPr>
        <w:t xml:space="preserve">. </w:t>
      </w:r>
      <w:r w:rsidR="00127CBE">
        <w:rPr>
          <w:rFonts w:ascii="Verdana" w:hAnsi="Verdana"/>
          <w:lang w:val="en-US"/>
        </w:rPr>
        <w:t xml:space="preserve">The same applies for the amount of transitional on technical provision. </w:t>
      </w:r>
    </w:p>
    <w:p w:rsidR="00AB6F2D" w:rsidRPr="005D495C" w:rsidRDefault="00AB6F2D" w:rsidP="00AD7EC0">
      <w:pPr>
        <w:pBdr>
          <w:top w:val="single" w:sz="4" w:space="1" w:color="auto"/>
          <w:left w:val="single" w:sz="4" w:space="4" w:color="auto"/>
          <w:bottom w:val="single" w:sz="4" w:space="0" w:color="auto"/>
          <w:right w:val="single" w:sz="4" w:space="4" w:color="auto"/>
        </w:pBdr>
        <w:tabs>
          <w:tab w:val="left" w:pos="2623"/>
        </w:tabs>
        <w:jc w:val="both"/>
        <w:rPr>
          <w:rFonts w:ascii="Verdana" w:hAnsi="Verdana"/>
          <w:b/>
          <w:lang w:val="en-US"/>
        </w:rPr>
      </w:pPr>
      <w:r w:rsidRPr="005D495C">
        <w:rPr>
          <w:rFonts w:ascii="Verdana" w:hAnsi="Verdana"/>
          <w:b/>
          <w:lang w:val="en-US"/>
        </w:rPr>
        <w:t>Q</w:t>
      </w:r>
      <w:r w:rsidR="00D449D7">
        <w:rPr>
          <w:rFonts w:ascii="Verdana" w:hAnsi="Verdana"/>
          <w:b/>
          <w:lang w:val="en-US"/>
        </w:rPr>
        <w:t>&amp;A</w:t>
      </w:r>
      <w:r w:rsidR="00B56F8D">
        <w:rPr>
          <w:rFonts w:ascii="Verdana" w:hAnsi="Verdana"/>
          <w:b/>
          <w:lang w:val="en-US"/>
        </w:rPr>
        <w:t xml:space="preserve"> </w:t>
      </w:r>
      <w:r w:rsidR="00D449D7">
        <w:rPr>
          <w:rFonts w:ascii="Verdana" w:hAnsi="Verdana"/>
          <w:b/>
          <w:lang w:val="en-US"/>
        </w:rPr>
        <w:t>1224</w:t>
      </w:r>
      <w:r w:rsidRPr="005D495C">
        <w:rPr>
          <w:rFonts w:ascii="Verdana" w:hAnsi="Verdana"/>
          <w:b/>
          <w:lang w:val="en-US"/>
        </w:rPr>
        <w:t>:</w:t>
      </w:r>
    </w:p>
    <w:p w:rsidR="00AB6F2D" w:rsidRPr="00393BBA" w:rsidRDefault="00AB6F2D" w:rsidP="00AD7EC0">
      <w:pPr>
        <w:pBdr>
          <w:top w:val="single" w:sz="4" w:space="1" w:color="auto"/>
          <w:left w:val="single" w:sz="4" w:space="4" w:color="auto"/>
          <w:bottom w:val="single" w:sz="4" w:space="0" w:color="auto"/>
          <w:right w:val="single" w:sz="4" w:space="4" w:color="auto"/>
        </w:pBdr>
        <w:tabs>
          <w:tab w:val="left" w:pos="2623"/>
        </w:tabs>
        <w:jc w:val="both"/>
        <w:rPr>
          <w:rFonts w:ascii="Verdana" w:hAnsi="Verdana"/>
          <w:lang w:val="en-GB"/>
        </w:rPr>
      </w:pPr>
      <w:r w:rsidRPr="00393BBA">
        <w:rPr>
          <w:rFonts w:ascii="Verdana" w:hAnsi="Verdana"/>
          <w:lang w:val="en-GB"/>
        </w:rPr>
        <w:t>In report S.29.04 cell R0110/C0050, what values shall be delivered, I can not find any validation on this cell, but as I see it I have two options:</w:t>
      </w:r>
    </w:p>
    <w:p w:rsidR="00AB6F2D" w:rsidRPr="00117899" w:rsidRDefault="00AB6F2D" w:rsidP="00AD7EC0">
      <w:pPr>
        <w:pBdr>
          <w:top w:val="single" w:sz="4" w:space="1" w:color="auto"/>
          <w:left w:val="single" w:sz="4" w:space="4" w:color="auto"/>
          <w:bottom w:val="single" w:sz="4" w:space="0" w:color="auto"/>
          <w:right w:val="single" w:sz="4" w:space="4" w:color="auto"/>
        </w:pBdr>
        <w:tabs>
          <w:tab w:val="left" w:pos="2623"/>
        </w:tabs>
        <w:jc w:val="both"/>
        <w:rPr>
          <w:rFonts w:ascii="Verdana" w:hAnsi="Verdana"/>
          <w:lang w:val="pt-PT"/>
        </w:rPr>
      </w:pPr>
      <w:r w:rsidRPr="00117899">
        <w:rPr>
          <w:rFonts w:ascii="Verdana" w:hAnsi="Verdana"/>
          <w:lang w:val="pt-PT"/>
        </w:rPr>
        <w:t>1. From S.29.03 R0220/ C0050+C0060</w:t>
      </w:r>
    </w:p>
    <w:p w:rsidR="00AB6F2D" w:rsidRPr="00117899" w:rsidRDefault="00AB6F2D" w:rsidP="00AD7EC0">
      <w:pPr>
        <w:pBdr>
          <w:top w:val="single" w:sz="4" w:space="1" w:color="auto"/>
          <w:left w:val="single" w:sz="4" w:space="4" w:color="auto"/>
          <w:bottom w:val="single" w:sz="4" w:space="0" w:color="auto"/>
          <w:right w:val="single" w:sz="4" w:space="4" w:color="auto"/>
        </w:pBdr>
        <w:tabs>
          <w:tab w:val="left" w:pos="2623"/>
        </w:tabs>
        <w:jc w:val="both"/>
        <w:rPr>
          <w:rFonts w:ascii="Verdana" w:hAnsi="Verdana"/>
          <w:lang w:val="pt-PT"/>
        </w:rPr>
      </w:pPr>
      <w:r w:rsidRPr="00117899">
        <w:rPr>
          <w:rFonts w:ascii="Verdana" w:hAnsi="Verdana"/>
          <w:lang w:val="pt-PT"/>
        </w:rPr>
        <w:t>2. From S.29.03 R0210-R0250/ C0050+C0060</w:t>
      </w:r>
    </w:p>
    <w:p w:rsidR="00230A4C" w:rsidRPr="005D495C" w:rsidRDefault="00AB6F2D" w:rsidP="00AD7EC0">
      <w:pPr>
        <w:pBdr>
          <w:top w:val="single" w:sz="4" w:space="1" w:color="auto"/>
          <w:left w:val="single" w:sz="4" w:space="4" w:color="auto"/>
          <w:bottom w:val="single" w:sz="4" w:space="0" w:color="auto"/>
          <w:right w:val="single" w:sz="4" w:space="4" w:color="auto"/>
        </w:pBdr>
        <w:tabs>
          <w:tab w:val="left" w:pos="2623"/>
        </w:tabs>
        <w:jc w:val="both"/>
        <w:rPr>
          <w:rFonts w:ascii="Verdana" w:hAnsi="Verdana"/>
          <w:lang w:val="en-US"/>
        </w:rPr>
      </w:pPr>
      <w:r w:rsidRPr="00393BBA">
        <w:rPr>
          <w:rFonts w:ascii="Verdana" w:hAnsi="Verdana"/>
          <w:lang w:val="en-GB"/>
        </w:rPr>
        <w:t>Which one is correct?</w:t>
      </w:r>
      <w:r w:rsidR="005F1058" w:rsidRPr="00D56959">
        <w:rPr>
          <w:rFonts w:ascii="Verdana" w:hAnsi="Verdana"/>
          <w:lang w:val="en-US"/>
        </w:rPr>
        <w:t xml:space="preserve"> </w:t>
      </w:r>
    </w:p>
    <w:p w:rsidR="00AB6F2D" w:rsidRPr="005D495C" w:rsidRDefault="00AB6F2D" w:rsidP="00AD7EC0">
      <w:pPr>
        <w:pBdr>
          <w:top w:val="single" w:sz="4" w:space="1" w:color="auto"/>
          <w:left w:val="single" w:sz="4" w:space="4" w:color="auto"/>
          <w:bottom w:val="single" w:sz="4" w:space="0" w:color="auto"/>
          <w:right w:val="single" w:sz="4" w:space="4" w:color="auto"/>
        </w:pBdr>
        <w:tabs>
          <w:tab w:val="left" w:pos="2623"/>
        </w:tabs>
        <w:jc w:val="both"/>
        <w:rPr>
          <w:rFonts w:ascii="Verdana" w:hAnsi="Verdana"/>
          <w:b/>
          <w:lang w:val="en-US"/>
        </w:rPr>
      </w:pPr>
      <w:r w:rsidRPr="005D495C">
        <w:rPr>
          <w:rFonts w:ascii="Verdana" w:hAnsi="Verdana"/>
          <w:b/>
          <w:lang w:val="en-US"/>
        </w:rPr>
        <w:t>Answer:</w:t>
      </w:r>
    </w:p>
    <w:p w:rsidR="006B178C" w:rsidRPr="00117899" w:rsidRDefault="00AB6F2D" w:rsidP="00AD7EC0">
      <w:pPr>
        <w:pBdr>
          <w:top w:val="single" w:sz="4" w:space="1" w:color="auto"/>
          <w:left w:val="single" w:sz="4" w:space="4" w:color="auto"/>
          <w:bottom w:val="single" w:sz="4" w:space="0" w:color="auto"/>
          <w:right w:val="single" w:sz="4" w:space="4" w:color="auto"/>
        </w:pBdr>
        <w:tabs>
          <w:tab w:val="left" w:pos="2623"/>
        </w:tabs>
        <w:jc w:val="both"/>
        <w:rPr>
          <w:rFonts w:ascii="Verdana" w:hAnsi="Verdana"/>
          <w:lang w:val="en-GB"/>
        </w:rPr>
      </w:pPr>
      <w:r w:rsidRPr="00D56959">
        <w:rPr>
          <w:rFonts w:ascii="Verdana" w:hAnsi="Verdana"/>
          <w:lang w:val="en-US"/>
        </w:rPr>
        <w:t>The cell S.29.04.R0110/C0050</w:t>
      </w:r>
      <w:r w:rsidRPr="005D495C">
        <w:rPr>
          <w:rFonts w:ascii="Verdana" w:hAnsi="Verdana"/>
          <w:lang w:val="en-US"/>
        </w:rPr>
        <w:t xml:space="preserve"> should reflect the variation of BE </w:t>
      </w:r>
      <w:r w:rsidR="00724701" w:rsidRPr="005D495C">
        <w:rPr>
          <w:rFonts w:ascii="Verdana" w:hAnsi="Verdana"/>
          <w:lang w:val="en-US"/>
        </w:rPr>
        <w:t xml:space="preserve">as reported in cells </w:t>
      </w:r>
      <w:r w:rsidR="004463B8">
        <w:rPr>
          <w:rFonts w:ascii="Verdana" w:hAnsi="Verdana"/>
          <w:lang w:val="en-US"/>
        </w:rPr>
        <w:t>S.29.03.</w:t>
      </w:r>
      <w:r w:rsidR="00724701" w:rsidRPr="005D495C">
        <w:rPr>
          <w:rFonts w:ascii="Verdana" w:hAnsi="Verdana"/>
          <w:lang w:val="en-US"/>
        </w:rPr>
        <w:t>R0</w:t>
      </w:r>
      <w:r w:rsidR="004463B8">
        <w:rPr>
          <w:rFonts w:ascii="Verdana" w:hAnsi="Verdana"/>
          <w:lang w:val="en-US"/>
        </w:rPr>
        <w:t xml:space="preserve">210 to </w:t>
      </w:r>
      <w:r w:rsidR="00724701" w:rsidRPr="005D495C">
        <w:rPr>
          <w:rFonts w:ascii="Verdana" w:hAnsi="Verdana"/>
          <w:lang w:val="en-US"/>
        </w:rPr>
        <w:t>R0250.</w:t>
      </w:r>
    </w:p>
    <w:p w:rsidR="00802326" w:rsidRDefault="00802326" w:rsidP="00D10572">
      <w:pPr>
        <w:pBdr>
          <w:top w:val="single" w:sz="4" w:space="1" w:color="auto"/>
          <w:left w:val="single" w:sz="4" w:space="4" w:color="auto"/>
          <w:bottom w:val="single" w:sz="4" w:space="0" w:color="auto"/>
          <w:right w:val="single" w:sz="4" w:space="4" w:color="auto"/>
        </w:pBdr>
        <w:tabs>
          <w:tab w:val="left" w:pos="2623"/>
        </w:tabs>
        <w:jc w:val="both"/>
        <w:rPr>
          <w:rFonts w:ascii="Verdana" w:hAnsi="Verdana"/>
          <w:b/>
          <w:lang w:val="en-US"/>
        </w:rPr>
      </w:pPr>
      <w:r>
        <w:rPr>
          <w:rFonts w:ascii="Verdana" w:hAnsi="Verdana"/>
          <w:b/>
          <w:lang w:val="en-US"/>
        </w:rPr>
        <w:t>Q&amp;A</w:t>
      </w:r>
      <w:r w:rsidR="00B56F8D">
        <w:rPr>
          <w:rFonts w:ascii="Verdana" w:hAnsi="Verdana"/>
          <w:b/>
          <w:lang w:val="en-US"/>
        </w:rPr>
        <w:t xml:space="preserve"> </w:t>
      </w:r>
      <w:r>
        <w:rPr>
          <w:rFonts w:ascii="Verdana" w:hAnsi="Verdana"/>
          <w:b/>
          <w:lang w:val="en-US"/>
        </w:rPr>
        <w:t>1459</w:t>
      </w:r>
    </w:p>
    <w:p w:rsidR="00F44DE3" w:rsidRDefault="00802326" w:rsidP="00D10572">
      <w:pPr>
        <w:pBdr>
          <w:top w:val="single" w:sz="4" w:space="1" w:color="auto"/>
          <w:left w:val="single" w:sz="4" w:space="4" w:color="auto"/>
          <w:bottom w:val="single" w:sz="4" w:space="0" w:color="auto"/>
          <w:right w:val="single" w:sz="4" w:space="4" w:color="auto"/>
        </w:pBdr>
        <w:tabs>
          <w:tab w:val="left" w:pos="2623"/>
        </w:tabs>
        <w:jc w:val="both"/>
        <w:rPr>
          <w:rFonts w:ascii="Verdana" w:hAnsi="Verdana"/>
        </w:rPr>
      </w:pPr>
      <w:r w:rsidRPr="00117899">
        <w:rPr>
          <w:rFonts w:ascii="Verdana" w:hAnsi="Verdana"/>
        </w:rPr>
        <w:t>The log file S.29.04 states for R0060 'Adjustment of valuation of Assets held for unit–linked funds' that "This item is added to the premiums and intends to eliminate the impact from unit–linked funds.".</w:t>
      </w:r>
    </w:p>
    <w:p w:rsidR="00802326" w:rsidRDefault="00802326" w:rsidP="00D10572">
      <w:pPr>
        <w:pBdr>
          <w:top w:val="single" w:sz="4" w:space="1" w:color="auto"/>
          <w:left w:val="single" w:sz="4" w:space="4" w:color="auto"/>
          <w:bottom w:val="single" w:sz="4" w:space="0" w:color="auto"/>
          <w:right w:val="single" w:sz="4" w:space="4" w:color="auto"/>
        </w:pBdr>
        <w:tabs>
          <w:tab w:val="left" w:pos="2623"/>
        </w:tabs>
        <w:jc w:val="both"/>
        <w:rPr>
          <w:rFonts w:ascii="Verdana" w:hAnsi="Verdana"/>
        </w:rPr>
      </w:pPr>
      <w:r w:rsidRPr="00117899">
        <w:rPr>
          <w:rFonts w:ascii="Verdana" w:hAnsi="Verdana"/>
        </w:rPr>
        <w:t>However, premiums in R0010 (= S.29.03.01 R0310) only covers "technical flows affecting technical provisions but that are not reflected in the closing best estimate", i.e. premiums reflected in the closing BE would not be included in this balance.</w:t>
      </w:r>
      <w:r w:rsidRPr="00117899">
        <w:rPr>
          <w:rFonts w:ascii="Verdana" w:hAnsi="Verdana"/>
        </w:rPr>
        <w:br/>
        <w:t>Therefore, how is adding R0060 (= S.29.03.01 R0300 'Variation in UL assets') eliminating the impact from unit-linked funds?</w:t>
      </w:r>
    </w:p>
    <w:p w:rsidR="003E2030" w:rsidRDefault="003E2030" w:rsidP="00D10572">
      <w:pPr>
        <w:pBdr>
          <w:top w:val="single" w:sz="4" w:space="1" w:color="auto"/>
          <w:left w:val="single" w:sz="4" w:space="4" w:color="auto"/>
          <w:bottom w:val="single" w:sz="4" w:space="0" w:color="auto"/>
          <w:right w:val="single" w:sz="4" w:space="4" w:color="auto"/>
        </w:pBdr>
        <w:tabs>
          <w:tab w:val="left" w:pos="2623"/>
        </w:tabs>
        <w:jc w:val="both"/>
        <w:rPr>
          <w:rFonts w:ascii="Verdana" w:hAnsi="Verdana"/>
        </w:rPr>
      </w:pPr>
    </w:p>
    <w:p w:rsidR="003E2030" w:rsidRPr="00117899" w:rsidRDefault="003E2030" w:rsidP="00D10572">
      <w:pPr>
        <w:pBdr>
          <w:top w:val="single" w:sz="4" w:space="1" w:color="auto"/>
          <w:left w:val="single" w:sz="4" w:space="4" w:color="auto"/>
          <w:bottom w:val="single" w:sz="4" w:space="0" w:color="auto"/>
          <w:right w:val="single" w:sz="4" w:space="4" w:color="auto"/>
        </w:pBdr>
        <w:tabs>
          <w:tab w:val="left" w:pos="2623"/>
        </w:tabs>
        <w:jc w:val="both"/>
        <w:rPr>
          <w:rFonts w:ascii="Verdana" w:hAnsi="Verdana"/>
        </w:rPr>
      </w:pPr>
    </w:p>
    <w:p w:rsidR="00802326" w:rsidRPr="00F44DE3" w:rsidRDefault="00802326" w:rsidP="00D10572">
      <w:pPr>
        <w:pBdr>
          <w:top w:val="single" w:sz="4" w:space="1" w:color="auto"/>
          <w:left w:val="single" w:sz="4" w:space="4" w:color="auto"/>
          <w:bottom w:val="single" w:sz="4" w:space="0" w:color="auto"/>
          <w:right w:val="single" w:sz="4" w:space="4" w:color="auto"/>
        </w:pBdr>
        <w:tabs>
          <w:tab w:val="left" w:pos="2623"/>
        </w:tabs>
        <w:jc w:val="both"/>
        <w:rPr>
          <w:rFonts w:ascii="Verdana" w:hAnsi="Verdana"/>
          <w:b/>
          <w:lang w:val="en-US"/>
        </w:rPr>
      </w:pPr>
      <w:r w:rsidRPr="00F44DE3">
        <w:rPr>
          <w:rFonts w:ascii="Verdana" w:hAnsi="Verdana"/>
          <w:b/>
          <w:lang w:val="en-US"/>
        </w:rPr>
        <w:t>Answer:</w:t>
      </w:r>
    </w:p>
    <w:p w:rsidR="00A40338" w:rsidRDefault="009F6851" w:rsidP="00D10572">
      <w:pPr>
        <w:pBdr>
          <w:top w:val="single" w:sz="4" w:space="1" w:color="auto"/>
          <w:left w:val="single" w:sz="4" w:space="4" w:color="auto"/>
          <w:bottom w:val="single" w:sz="4" w:space="0" w:color="auto"/>
          <w:right w:val="single" w:sz="4" w:space="4" w:color="auto"/>
        </w:pBdr>
        <w:tabs>
          <w:tab w:val="left" w:pos="2623"/>
        </w:tabs>
        <w:jc w:val="both"/>
        <w:rPr>
          <w:rFonts w:ascii="Verdana" w:hAnsi="Verdana"/>
          <w:lang w:val="en-US"/>
        </w:rPr>
      </w:pPr>
      <w:r w:rsidRPr="00117899">
        <w:rPr>
          <w:rFonts w:ascii="Verdana" w:hAnsi="Verdana"/>
          <w:lang w:val="en-US"/>
        </w:rPr>
        <w:t xml:space="preserve">All amounts to be reported in R0010 to R0050 and from R0080 to R0120 should include amounts related to </w:t>
      </w:r>
      <w:r w:rsidR="002A3D11" w:rsidRPr="00BA2A0B">
        <w:rPr>
          <w:rFonts w:ascii="Verdana" w:hAnsi="Verdana"/>
          <w:lang w:val="en-US"/>
        </w:rPr>
        <w:t xml:space="preserve">index-linked </w:t>
      </w:r>
      <w:r w:rsidR="002A3D11">
        <w:rPr>
          <w:rFonts w:ascii="Verdana" w:hAnsi="Verdana"/>
          <w:lang w:val="en-US"/>
        </w:rPr>
        <w:t xml:space="preserve">and unit-linked </w:t>
      </w:r>
      <w:r w:rsidRPr="00117899">
        <w:rPr>
          <w:rFonts w:ascii="Verdana" w:hAnsi="Verdana"/>
          <w:lang w:val="en-US"/>
        </w:rPr>
        <w:t xml:space="preserve">business. In R0060 and R0130 the net impact of the amount of the assets held by </w:t>
      </w:r>
      <w:r w:rsidR="002A3D11" w:rsidRPr="00BA2A0B">
        <w:rPr>
          <w:rFonts w:ascii="Verdana" w:hAnsi="Verdana"/>
          <w:lang w:val="en-US"/>
        </w:rPr>
        <w:t xml:space="preserve">index-linked </w:t>
      </w:r>
      <w:r w:rsidR="002A3D11">
        <w:rPr>
          <w:rFonts w:ascii="Verdana" w:hAnsi="Verdana"/>
          <w:lang w:val="en-US"/>
        </w:rPr>
        <w:t>and unit-linked</w:t>
      </w:r>
      <w:r w:rsidRPr="00117899">
        <w:rPr>
          <w:rFonts w:ascii="Verdana" w:hAnsi="Verdana"/>
          <w:lang w:val="en-US"/>
        </w:rPr>
        <w:t xml:space="preserve"> business and of Technical provisions – index-linked and unit-linked (calculated as best estimate and risk margin or calculate as a whole) should be reported split by periods for information. With this new application for </w:t>
      </w:r>
      <w:r w:rsidR="002A3D11" w:rsidRPr="00BA2A0B">
        <w:rPr>
          <w:rFonts w:ascii="Verdana" w:hAnsi="Verdana"/>
          <w:lang w:val="en-US"/>
        </w:rPr>
        <w:t xml:space="preserve">index-linked </w:t>
      </w:r>
      <w:r w:rsidR="002A3D11">
        <w:rPr>
          <w:rFonts w:ascii="Verdana" w:hAnsi="Verdana"/>
          <w:lang w:val="en-US"/>
        </w:rPr>
        <w:t xml:space="preserve">and unit-linked </w:t>
      </w:r>
      <w:r w:rsidRPr="00117899">
        <w:rPr>
          <w:rFonts w:ascii="Verdana" w:hAnsi="Verdana"/>
          <w:lang w:val="en-US"/>
        </w:rPr>
        <w:t>business BV148 and BV149 have to be amended.</w:t>
      </w:r>
    </w:p>
    <w:p w:rsidR="00D10572" w:rsidRPr="00117899" w:rsidRDefault="00CF4C69" w:rsidP="00D10572">
      <w:pPr>
        <w:pBdr>
          <w:top w:val="single" w:sz="4" w:space="1" w:color="auto"/>
          <w:left w:val="single" w:sz="4" w:space="4" w:color="auto"/>
          <w:bottom w:val="single" w:sz="4" w:space="0" w:color="auto"/>
          <w:right w:val="single" w:sz="4" w:space="4" w:color="auto"/>
        </w:pBdr>
        <w:tabs>
          <w:tab w:val="left" w:pos="2623"/>
        </w:tabs>
        <w:jc w:val="both"/>
        <w:rPr>
          <w:rFonts w:ascii="Verdana" w:hAnsi="Verdana"/>
          <w:lang w:val="en-US"/>
        </w:rPr>
      </w:pPr>
      <w:r>
        <w:rPr>
          <w:rFonts w:ascii="Verdana" w:hAnsi="Verdana"/>
          <w:b/>
          <w:lang w:val="en-US"/>
        </w:rPr>
        <w:t>Q&amp;A</w:t>
      </w:r>
      <w:r w:rsidR="00B56F8D">
        <w:rPr>
          <w:rFonts w:ascii="Verdana" w:hAnsi="Verdana"/>
          <w:b/>
          <w:lang w:val="en-US"/>
        </w:rPr>
        <w:t xml:space="preserve"> </w:t>
      </w:r>
      <w:r w:rsidR="00FF04F5">
        <w:rPr>
          <w:rFonts w:ascii="Verdana" w:hAnsi="Verdana"/>
          <w:b/>
          <w:lang w:val="en-US"/>
        </w:rPr>
        <w:t xml:space="preserve">1486 </w:t>
      </w:r>
      <w:r w:rsidR="00A40338">
        <w:rPr>
          <w:rFonts w:ascii="Verdana" w:hAnsi="Verdana"/>
          <w:b/>
          <w:lang w:val="en-US"/>
        </w:rPr>
        <w:t>(</w:t>
      </w:r>
      <w:r w:rsidR="00FF04F5">
        <w:rPr>
          <w:rFonts w:ascii="Verdana" w:hAnsi="Verdana"/>
          <w:b/>
          <w:lang w:val="en-US"/>
        </w:rPr>
        <w:t xml:space="preserve">and </w:t>
      </w:r>
      <w:r>
        <w:rPr>
          <w:rFonts w:ascii="Verdana" w:hAnsi="Verdana"/>
          <w:b/>
          <w:lang w:val="en-US"/>
        </w:rPr>
        <w:t>998)</w:t>
      </w:r>
      <w:r w:rsidR="00D10572" w:rsidRPr="003E6AEE">
        <w:rPr>
          <w:rFonts w:ascii="Verdana" w:hAnsi="Verdana"/>
          <w:b/>
          <w:lang w:val="en-US"/>
        </w:rPr>
        <w:t>:</w:t>
      </w:r>
    </w:p>
    <w:p w:rsidR="00D10572" w:rsidRDefault="00D10572" w:rsidP="00AD7EC0">
      <w:pPr>
        <w:pBdr>
          <w:top w:val="single" w:sz="4" w:space="1" w:color="auto"/>
          <w:left w:val="single" w:sz="4" w:space="4" w:color="auto"/>
          <w:bottom w:val="single" w:sz="4" w:space="0" w:color="auto"/>
          <w:right w:val="single" w:sz="4" w:space="4" w:color="auto"/>
        </w:pBdr>
        <w:tabs>
          <w:tab w:val="left" w:pos="2623"/>
        </w:tabs>
        <w:jc w:val="both"/>
        <w:rPr>
          <w:rFonts w:ascii="Verdana" w:hAnsi="Verdana"/>
          <w:lang w:val="en-US"/>
        </w:rPr>
      </w:pPr>
      <w:r w:rsidRPr="00D10572">
        <w:rPr>
          <w:rFonts w:ascii="Verdana" w:hAnsi="Verdana"/>
          <w:lang w:val="en-US"/>
        </w:rPr>
        <w:t>According to the log file "Expenses (related to insurance and reinsurance obligations)" for all risk categories (i.e. risks accepted during the period etc.) of S.29.04 need to reconcile with "C0100-C0110/R0330" of S.29.03. However, unlike S.29.03, where the requirement says that only those expenses should be reported that are not included in Best Estimate calculation, S.29.04 doesn't say as such. Does it mean that S.29.04 should have details of expenses irrespective of whether they are included in Best Estimate calculation or not? If so, then how the values of expenses of all risk categories in S.29.04 would reconcile with S.29.03? Can you please confirm.</w:t>
      </w:r>
    </w:p>
    <w:p w:rsidR="00D10572" w:rsidRPr="005D495C" w:rsidRDefault="00D10572" w:rsidP="00D10572">
      <w:pPr>
        <w:pBdr>
          <w:top w:val="single" w:sz="4" w:space="1" w:color="auto"/>
          <w:left w:val="single" w:sz="4" w:space="4" w:color="auto"/>
          <w:bottom w:val="single" w:sz="4" w:space="0" w:color="auto"/>
          <w:right w:val="single" w:sz="4" w:space="4" w:color="auto"/>
        </w:pBdr>
        <w:tabs>
          <w:tab w:val="left" w:pos="2623"/>
        </w:tabs>
        <w:jc w:val="both"/>
        <w:rPr>
          <w:rFonts w:ascii="Verdana" w:hAnsi="Verdana"/>
          <w:b/>
          <w:lang w:val="en-US"/>
        </w:rPr>
      </w:pPr>
      <w:r w:rsidRPr="005D495C">
        <w:rPr>
          <w:rFonts w:ascii="Verdana" w:hAnsi="Verdana"/>
          <w:b/>
          <w:lang w:val="en-US"/>
        </w:rPr>
        <w:t>Answer:</w:t>
      </w:r>
    </w:p>
    <w:p w:rsidR="00D10572" w:rsidRPr="00BE740F" w:rsidRDefault="00FF04F5" w:rsidP="00117899">
      <w:pPr>
        <w:pBdr>
          <w:top w:val="single" w:sz="4" w:space="1" w:color="auto"/>
          <w:left w:val="single" w:sz="4" w:space="4" w:color="auto"/>
          <w:bottom w:val="single" w:sz="4" w:space="0" w:color="auto"/>
          <w:right w:val="single" w:sz="4" w:space="4" w:color="auto"/>
        </w:pBdr>
        <w:tabs>
          <w:tab w:val="left" w:pos="2623"/>
        </w:tabs>
        <w:spacing w:after="0"/>
        <w:jc w:val="both"/>
        <w:rPr>
          <w:rFonts w:ascii="Verdana" w:hAnsi="Verdana"/>
          <w:lang w:val="en-US"/>
        </w:rPr>
      </w:pPr>
      <w:r>
        <w:rPr>
          <w:rFonts w:ascii="Verdana" w:hAnsi="Verdana"/>
          <w:lang w:val="en-US"/>
        </w:rPr>
        <w:t xml:space="preserve">Regarding </w:t>
      </w:r>
      <w:r w:rsidR="00062648" w:rsidRPr="00062648">
        <w:rPr>
          <w:rFonts w:ascii="Verdana" w:hAnsi="Verdana"/>
          <w:lang w:val="en-US"/>
        </w:rPr>
        <w:t xml:space="preserve">S.29.04.R0030 and R0100 </w:t>
      </w:r>
      <w:r>
        <w:rPr>
          <w:rFonts w:ascii="Verdana" w:hAnsi="Verdana"/>
          <w:lang w:val="en-US"/>
        </w:rPr>
        <w:t>–</w:t>
      </w:r>
      <w:r w:rsidR="00062648" w:rsidRPr="00062648">
        <w:rPr>
          <w:rFonts w:ascii="Verdana" w:hAnsi="Verdana"/>
          <w:lang w:val="en-US"/>
        </w:rPr>
        <w:t xml:space="preserve"> Expenses</w:t>
      </w:r>
      <w:r>
        <w:rPr>
          <w:rFonts w:ascii="Verdana" w:hAnsi="Verdana"/>
          <w:lang w:val="en-US"/>
        </w:rPr>
        <w:t xml:space="preserve"> it is </w:t>
      </w:r>
      <w:r w:rsidR="00062648" w:rsidRPr="00062648">
        <w:rPr>
          <w:rFonts w:ascii="Verdana" w:hAnsi="Verdana"/>
          <w:lang w:val="en-US"/>
        </w:rPr>
        <w:t>expected that amounts reported in both S.29.03 and S.29.04 are the same (see BV510). One doubt that could arise would be the investment expenses, however in both S.29.03 and S.29.04 the amount on expenses should exclude any expenses included in the best estimate such as the investment expenses.</w:t>
      </w:r>
      <w:r w:rsidR="00CF4C69" w:rsidRPr="00CF4C69">
        <w:rPr>
          <w:rFonts w:ascii="Verdana" w:hAnsi="Verdana"/>
          <w:lang w:val="en-US"/>
        </w:rPr>
        <w:cr/>
      </w:r>
    </w:p>
    <w:p w:rsidR="009A7731" w:rsidRDefault="009A7731">
      <w:pPr>
        <w:rPr>
          <w:rFonts w:ascii="Verdana" w:eastAsia="Verdana" w:hAnsi="Verdana" w:cs="Verdana"/>
          <w:lang w:val="en-US"/>
        </w:rPr>
      </w:pPr>
      <w:r>
        <w:rPr>
          <w:rFonts w:ascii="Verdana" w:eastAsia="Verdana" w:hAnsi="Verdana" w:cs="Verdana"/>
          <w:lang w:val="en-US"/>
        </w:rPr>
        <w:br w:type="page"/>
      </w:r>
    </w:p>
    <w:p w:rsidR="009A7731" w:rsidRPr="007853BA" w:rsidRDefault="009A7731" w:rsidP="009A7731">
      <w:pPr>
        <w:pStyle w:val="Heading1"/>
        <w:rPr>
          <w:rFonts w:ascii="Verdana" w:hAnsi="Verdana"/>
          <w:sz w:val="22"/>
          <w:lang w:val="en-US"/>
        </w:rPr>
      </w:pPr>
      <w:r w:rsidRPr="007853BA">
        <w:rPr>
          <w:rFonts w:ascii="Verdana" w:hAnsi="Verdana"/>
          <w:sz w:val="22"/>
          <w:lang w:val="en-US"/>
        </w:rPr>
        <w:t>A</w:t>
      </w:r>
      <w:r>
        <w:rPr>
          <w:rFonts w:ascii="Verdana" w:hAnsi="Verdana"/>
          <w:sz w:val="22"/>
          <w:lang w:val="en-US"/>
        </w:rPr>
        <w:t>nnex 1</w:t>
      </w:r>
      <w:r w:rsidRPr="007853BA">
        <w:rPr>
          <w:rFonts w:ascii="Verdana" w:hAnsi="Verdana"/>
          <w:sz w:val="22"/>
          <w:lang w:val="en-US"/>
        </w:rPr>
        <w:t>:</w:t>
      </w:r>
    </w:p>
    <w:p w:rsidR="006B494C" w:rsidRDefault="006B494C" w:rsidP="00117899">
      <w:pPr>
        <w:jc w:val="both"/>
        <w:rPr>
          <w:rFonts w:ascii="Verdana" w:eastAsia="Verdana" w:hAnsi="Verdana" w:cs="Verdana"/>
          <w:lang w:val="en-US"/>
        </w:rPr>
      </w:pPr>
    </w:p>
    <w:p w:rsidR="00855406" w:rsidRPr="00117899" w:rsidRDefault="00855406" w:rsidP="00117899">
      <w:pPr>
        <w:jc w:val="both"/>
        <w:rPr>
          <w:rFonts w:ascii="Verdana" w:eastAsia="Verdana" w:hAnsi="Verdana" w:cs="Verdana"/>
          <w:lang w:val="en-US"/>
        </w:rPr>
      </w:pPr>
      <w:r w:rsidRPr="00117899">
        <w:rPr>
          <w:rFonts w:ascii="Verdana" w:eastAsia="Verdana" w:hAnsi="Verdana" w:cs="Verdana"/>
          <w:lang w:val="en-US"/>
        </w:rPr>
        <w:t>Taking into consideration that in particular for non-life business templates S.29.03 and S.29.04 might not be as intuitive as for life, EIOPA has developed some examples on how S.29.03 and S.29.04 would be filled in for non-life business. The examples developed reflect the following cases:</w:t>
      </w:r>
    </w:p>
    <w:p w:rsidR="00855406" w:rsidRPr="00F62ABD" w:rsidRDefault="00855406" w:rsidP="00855406">
      <w:pPr>
        <w:pStyle w:val="ListParagraph"/>
        <w:numPr>
          <w:ilvl w:val="0"/>
          <w:numId w:val="13"/>
        </w:numPr>
        <w:rPr>
          <w:rFonts w:ascii="Verdana" w:eastAsia="Verdana" w:hAnsi="Verdana" w:cs="Verdana"/>
          <w:lang w:val="en-US"/>
        </w:rPr>
      </w:pPr>
      <w:r w:rsidRPr="00F62ABD">
        <w:rPr>
          <w:rFonts w:ascii="Verdana" w:eastAsia="Verdana" w:hAnsi="Verdana" w:cs="Verdana"/>
          <w:lang w:val="en-US"/>
        </w:rPr>
        <w:t xml:space="preserve">Case 1: Base Case: Pure run-off business </w:t>
      </w:r>
    </w:p>
    <w:p w:rsidR="00855406" w:rsidRPr="00F62ABD" w:rsidRDefault="00855406" w:rsidP="00855406">
      <w:pPr>
        <w:pStyle w:val="ListParagraph"/>
        <w:numPr>
          <w:ilvl w:val="1"/>
          <w:numId w:val="13"/>
        </w:numPr>
        <w:rPr>
          <w:rFonts w:ascii="Verdana" w:eastAsia="Verdana" w:hAnsi="Verdana" w:cs="Verdana"/>
          <w:lang w:val="en-US"/>
        </w:rPr>
      </w:pPr>
      <w:r w:rsidRPr="00F62ABD">
        <w:rPr>
          <w:rFonts w:ascii="Verdana" w:eastAsia="Verdana" w:hAnsi="Verdana" w:cs="Verdana"/>
          <w:lang w:val="en-US"/>
        </w:rPr>
        <w:t>Case 1A: Base Case: Pure run-off business with – 1 contract without revaluation of the projected cash-flows</w:t>
      </w:r>
    </w:p>
    <w:p w:rsidR="00855406" w:rsidRPr="00F62ABD" w:rsidRDefault="00855406" w:rsidP="00855406">
      <w:pPr>
        <w:pStyle w:val="ListParagraph"/>
        <w:numPr>
          <w:ilvl w:val="1"/>
          <w:numId w:val="13"/>
        </w:numPr>
        <w:rPr>
          <w:rFonts w:ascii="Verdana" w:eastAsia="Verdana" w:hAnsi="Verdana" w:cs="Verdana"/>
          <w:lang w:val="en-US"/>
        </w:rPr>
      </w:pPr>
      <w:r w:rsidRPr="00F62ABD">
        <w:rPr>
          <w:rFonts w:ascii="Verdana" w:eastAsia="Verdana" w:hAnsi="Verdana" w:cs="Verdana"/>
          <w:lang w:val="en-US"/>
        </w:rPr>
        <w:t>Case 1B: Base Case: Pure run-off business – 1 contract with revaluation of the projected cash-flows</w:t>
      </w:r>
    </w:p>
    <w:p w:rsidR="00855406" w:rsidRPr="00F62ABD" w:rsidRDefault="00855406" w:rsidP="00855406">
      <w:pPr>
        <w:pStyle w:val="ListParagraph"/>
        <w:numPr>
          <w:ilvl w:val="1"/>
          <w:numId w:val="13"/>
        </w:numPr>
        <w:rPr>
          <w:rFonts w:ascii="Verdana" w:eastAsia="Verdana" w:hAnsi="Verdana" w:cs="Verdana"/>
          <w:lang w:val="en-US"/>
        </w:rPr>
      </w:pPr>
      <w:r w:rsidRPr="00F62ABD">
        <w:rPr>
          <w:rFonts w:ascii="Verdana" w:eastAsia="Verdana" w:hAnsi="Verdana" w:cs="Verdana"/>
          <w:lang w:val="en-US"/>
        </w:rPr>
        <w:t>Case 1C: Base Case: Pure run-off business – portfolio</w:t>
      </w:r>
    </w:p>
    <w:p w:rsidR="00855406" w:rsidRPr="00F62ABD" w:rsidRDefault="00855406" w:rsidP="00855406">
      <w:pPr>
        <w:pStyle w:val="ListParagraph"/>
        <w:numPr>
          <w:ilvl w:val="0"/>
          <w:numId w:val="13"/>
        </w:numPr>
        <w:rPr>
          <w:rFonts w:ascii="Verdana" w:eastAsia="Verdana" w:hAnsi="Verdana" w:cs="Verdana"/>
          <w:lang w:val="en-US"/>
        </w:rPr>
      </w:pPr>
      <w:r w:rsidRPr="00F62ABD">
        <w:rPr>
          <w:rFonts w:ascii="Verdana" w:eastAsia="Verdana" w:hAnsi="Verdana" w:cs="Verdana"/>
          <w:lang w:val="en-US"/>
        </w:rPr>
        <w:t>Case 2: Claim provision (case reserve) turns into annuity</w:t>
      </w:r>
    </w:p>
    <w:p w:rsidR="00855406" w:rsidRPr="00F62ABD" w:rsidRDefault="00855406" w:rsidP="00855406">
      <w:pPr>
        <w:pStyle w:val="ListParagraph"/>
        <w:numPr>
          <w:ilvl w:val="1"/>
          <w:numId w:val="13"/>
        </w:numPr>
        <w:rPr>
          <w:rFonts w:ascii="Verdana" w:eastAsia="Verdana" w:hAnsi="Verdana" w:cs="Verdana"/>
          <w:lang w:val="en-US"/>
        </w:rPr>
      </w:pPr>
      <w:r w:rsidRPr="00F62ABD">
        <w:rPr>
          <w:rFonts w:ascii="Verdana" w:eastAsia="Verdana" w:hAnsi="Verdana" w:cs="Verdana"/>
          <w:lang w:val="en-US"/>
        </w:rPr>
        <w:t>Case 2A: Claim provision (case reserve) turns into annuity – 1 contract</w:t>
      </w:r>
    </w:p>
    <w:p w:rsidR="00855406" w:rsidRPr="00F62ABD" w:rsidRDefault="00855406" w:rsidP="00855406">
      <w:pPr>
        <w:pStyle w:val="ListParagraph"/>
        <w:numPr>
          <w:ilvl w:val="1"/>
          <w:numId w:val="13"/>
        </w:numPr>
        <w:rPr>
          <w:rFonts w:ascii="Verdana" w:eastAsia="Verdana" w:hAnsi="Verdana" w:cs="Verdana"/>
          <w:lang w:val="en-US"/>
        </w:rPr>
      </w:pPr>
      <w:r w:rsidRPr="00F62ABD">
        <w:rPr>
          <w:rFonts w:ascii="Verdana" w:eastAsia="Verdana" w:hAnsi="Verdana" w:cs="Verdana"/>
          <w:lang w:val="en-US"/>
        </w:rPr>
        <w:t>Case 2B: Claim provision (case reserve) turns into annuity – portfolio</w:t>
      </w:r>
    </w:p>
    <w:p w:rsidR="00855406" w:rsidRPr="00F62ABD" w:rsidRDefault="00855406" w:rsidP="00855406">
      <w:pPr>
        <w:pStyle w:val="ListParagraph"/>
        <w:numPr>
          <w:ilvl w:val="0"/>
          <w:numId w:val="13"/>
        </w:numPr>
        <w:rPr>
          <w:rFonts w:ascii="Verdana" w:eastAsia="Verdana" w:hAnsi="Verdana" w:cs="Verdana"/>
          <w:lang w:val="en-US"/>
        </w:rPr>
      </w:pPr>
      <w:r w:rsidRPr="00F62ABD">
        <w:rPr>
          <w:rFonts w:ascii="Verdana" w:eastAsia="Verdana" w:hAnsi="Verdana" w:cs="Verdana"/>
          <w:lang w:val="en-US"/>
        </w:rPr>
        <w:t>Case 3: Run-off with discounting</w:t>
      </w:r>
    </w:p>
    <w:p w:rsidR="00855406" w:rsidRPr="00F62ABD" w:rsidRDefault="00855406" w:rsidP="00855406">
      <w:pPr>
        <w:pStyle w:val="ListParagraph"/>
        <w:numPr>
          <w:ilvl w:val="0"/>
          <w:numId w:val="13"/>
        </w:numPr>
        <w:rPr>
          <w:rFonts w:ascii="Verdana" w:eastAsia="Verdana" w:hAnsi="Verdana" w:cs="Verdana"/>
          <w:lang w:val="en-US"/>
        </w:rPr>
      </w:pPr>
      <w:r w:rsidRPr="00F62ABD">
        <w:rPr>
          <w:rFonts w:ascii="Verdana" w:eastAsia="Verdana" w:hAnsi="Verdana" w:cs="Verdana"/>
          <w:lang w:val="en-US"/>
        </w:rPr>
        <w:t>Case 4: Run-off with FX variation</w:t>
      </w:r>
    </w:p>
    <w:p w:rsidR="00855406" w:rsidRPr="00F62ABD" w:rsidRDefault="00855406" w:rsidP="00855406">
      <w:pPr>
        <w:pStyle w:val="ListParagraph"/>
        <w:numPr>
          <w:ilvl w:val="1"/>
          <w:numId w:val="13"/>
        </w:numPr>
        <w:rPr>
          <w:rFonts w:ascii="Verdana" w:eastAsia="Verdana" w:hAnsi="Verdana" w:cs="Verdana"/>
          <w:lang w:val="en-US"/>
        </w:rPr>
      </w:pPr>
      <w:r w:rsidRPr="00F62ABD">
        <w:rPr>
          <w:rFonts w:ascii="Verdana" w:eastAsia="Verdana" w:hAnsi="Verdana" w:cs="Verdana"/>
          <w:lang w:val="en-US"/>
        </w:rPr>
        <w:t>Case 4A - Claim provision run-off with FX (current FX rate at valuation date)</w:t>
      </w:r>
    </w:p>
    <w:p w:rsidR="00855406" w:rsidRPr="00F62ABD" w:rsidRDefault="00855406" w:rsidP="00855406">
      <w:pPr>
        <w:pStyle w:val="ListParagraph"/>
        <w:numPr>
          <w:ilvl w:val="1"/>
          <w:numId w:val="13"/>
        </w:numPr>
        <w:rPr>
          <w:rFonts w:ascii="Verdana" w:eastAsia="Verdana" w:hAnsi="Verdana" w:cs="Verdana"/>
          <w:lang w:val="en-US"/>
        </w:rPr>
      </w:pPr>
      <w:r w:rsidRPr="00F62ABD">
        <w:rPr>
          <w:rFonts w:ascii="Verdana" w:eastAsia="Verdana" w:hAnsi="Verdana" w:cs="Verdana"/>
          <w:lang w:val="en-US"/>
        </w:rPr>
        <w:t>Case 4B - Claim provision run-off with FX (average FX rate during period)</w:t>
      </w:r>
    </w:p>
    <w:p w:rsidR="00855406" w:rsidRPr="00F62ABD" w:rsidRDefault="00855406" w:rsidP="00855406">
      <w:pPr>
        <w:pStyle w:val="ListParagraph"/>
        <w:numPr>
          <w:ilvl w:val="0"/>
          <w:numId w:val="13"/>
        </w:numPr>
        <w:rPr>
          <w:rFonts w:ascii="Verdana" w:eastAsia="Verdana" w:hAnsi="Verdana" w:cs="Verdana"/>
          <w:lang w:val="en-US"/>
        </w:rPr>
      </w:pPr>
      <w:r w:rsidRPr="00F62ABD">
        <w:rPr>
          <w:rFonts w:ascii="Verdana" w:eastAsia="Verdana" w:hAnsi="Verdana" w:cs="Verdana"/>
          <w:lang w:val="en-US"/>
        </w:rPr>
        <w:t>Case 5: Claim provision run-off with FX and discounting</w:t>
      </w:r>
    </w:p>
    <w:p w:rsidR="00855406" w:rsidRPr="00F62ABD" w:rsidRDefault="00855406" w:rsidP="00855406">
      <w:pPr>
        <w:pStyle w:val="ListParagraph"/>
        <w:numPr>
          <w:ilvl w:val="0"/>
          <w:numId w:val="13"/>
        </w:numPr>
        <w:rPr>
          <w:rFonts w:ascii="Verdana" w:eastAsia="Verdana" w:hAnsi="Verdana" w:cs="Verdana"/>
          <w:lang w:val="en-US"/>
        </w:rPr>
      </w:pPr>
      <w:r w:rsidRPr="00F62ABD">
        <w:rPr>
          <w:rFonts w:ascii="Verdana" w:eastAsia="Verdana" w:hAnsi="Verdana" w:cs="Verdana"/>
          <w:lang w:val="en-US"/>
        </w:rPr>
        <w:t>Case 6: New business</w:t>
      </w:r>
    </w:p>
    <w:p w:rsidR="00855406" w:rsidRPr="00F62ABD" w:rsidRDefault="00855406" w:rsidP="00855406">
      <w:pPr>
        <w:pStyle w:val="ListParagraph"/>
        <w:numPr>
          <w:ilvl w:val="1"/>
          <w:numId w:val="13"/>
        </w:numPr>
        <w:rPr>
          <w:rFonts w:ascii="Verdana" w:eastAsia="Verdana" w:hAnsi="Verdana" w:cs="Verdana"/>
          <w:lang w:val="en-US"/>
        </w:rPr>
      </w:pPr>
      <w:r w:rsidRPr="00F62ABD">
        <w:rPr>
          <w:rFonts w:ascii="Verdana" w:eastAsia="Verdana" w:hAnsi="Verdana" w:cs="Verdana"/>
          <w:lang w:val="en-US"/>
        </w:rPr>
        <w:t>Case 6A: New business, one-year contract, incepting 01.07</w:t>
      </w:r>
    </w:p>
    <w:p w:rsidR="00975412" w:rsidRDefault="00855406" w:rsidP="00AD7EC0">
      <w:pPr>
        <w:pStyle w:val="ListParagraph"/>
        <w:numPr>
          <w:ilvl w:val="1"/>
          <w:numId w:val="13"/>
        </w:numPr>
        <w:rPr>
          <w:rFonts w:ascii="Verdana" w:eastAsia="Verdana" w:hAnsi="Verdana" w:cs="Verdana"/>
          <w:lang w:val="en-US"/>
        </w:rPr>
      </w:pPr>
      <w:r w:rsidRPr="00F62ABD">
        <w:rPr>
          <w:rFonts w:ascii="Verdana" w:eastAsia="Verdana" w:hAnsi="Verdana" w:cs="Verdana"/>
          <w:lang w:val="en-US"/>
        </w:rPr>
        <w:t>Case 6B: New business, one-year contract, incepting 01.07 with up-front premium</w:t>
      </w:r>
    </w:p>
    <w:p w:rsidR="00975412" w:rsidRPr="00F62ABD" w:rsidRDefault="00975412" w:rsidP="00975412">
      <w:pPr>
        <w:pStyle w:val="ListParagraph"/>
        <w:numPr>
          <w:ilvl w:val="0"/>
          <w:numId w:val="13"/>
        </w:numPr>
        <w:rPr>
          <w:rFonts w:ascii="Verdana" w:eastAsia="Verdana" w:hAnsi="Verdana" w:cs="Verdana"/>
          <w:lang w:val="en-US"/>
        </w:rPr>
      </w:pPr>
      <w:r w:rsidRPr="00F62ABD">
        <w:rPr>
          <w:rFonts w:ascii="Verdana" w:eastAsia="Verdana" w:hAnsi="Verdana" w:cs="Verdana"/>
          <w:lang w:val="en-US"/>
        </w:rPr>
        <w:t xml:space="preserve">Case </w:t>
      </w:r>
      <w:r>
        <w:rPr>
          <w:rFonts w:ascii="Verdana" w:eastAsia="Verdana" w:hAnsi="Verdana" w:cs="Verdana"/>
          <w:lang w:val="en-US"/>
        </w:rPr>
        <w:t>7</w:t>
      </w:r>
      <w:r w:rsidRPr="00F62ABD">
        <w:rPr>
          <w:rFonts w:ascii="Verdana" w:eastAsia="Verdana" w:hAnsi="Verdana" w:cs="Verdana"/>
          <w:lang w:val="en-US"/>
        </w:rPr>
        <w:t xml:space="preserve">: </w:t>
      </w:r>
      <w:r w:rsidR="002A3D11">
        <w:rPr>
          <w:rFonts w:ascii="Verdana" w:hAnsi="Verdana"/>
          <w:lang w:val="en-US"/>
        </w:rPr>
        <w:t>I</w:t>
      </w:r>
      <w:r w:rsidR="002A3D11" w:rsidRPr="00BA2A0B">
        <w:rPr>
          <w:rFonts w:ascii="Verdana" w:hAnsi="Verdana"/>
          <w:lang w:val="en-US"/>
        </w:rPr>
        <w:t xml:space="preserve">ndex-linked </w:t>
      </w:r>
      <w:r w:rsidR="002A3D11">
        <w:rPr>
          <w:rFonts w:ascii="Verdana" w:hAnsi="Verdana"/>
          <w:lang w:val="en-US"/>
        </w:rPr>
        <w:t>and unit-linked</w:t>
      </w:r>
    </w:p>
    <w:p w:rsidR="003379B5" w:rsidRPr="00AD7EC0" w:rsidRDefault="003379B5" w:rsidP="00AD7EC0">
      <w:pPr>
        <w:pStyle w:val="ListParagraph"/>
        <w:numPr>
          <w:ilvl w:val="1"/>
          <w:numId w:val="13"/>
        </w:numPr>
        <w:rPr>
          <w:rFonts w:ascii="Verdana" w:eastAsia="Verdana" w:hAnsi="Verdana" w:cs="Verdana"/>
          <w:lang w:val="en-US"/>
        </w:rPr>
      </w:pPr>
      <w:r w:rsidRPr="00AD7EC0">
        <w:rPr>
          <w:rFonts w:ascii="Verdana" w:eastAsia="Verdana" w:hAnsi="Verdana" w:cs="Verdana"/>
          <w:lang w:val="en-US"/>
        </w:rPr>
        <w:br w:type="page"/>
      </w:r>
    </w:p>
    <w:p w:rsidR="00D26C11" w:rsidRPr="007853BA" w:rsidRDefault="00D26C11" w:rsidP="00D26C11">
      <w:pPr>
        <w:pStyle w:val="Heading1"/>
        <w:rPr>
          <w:rFonts w:ascii="Verdana" w:hAnsi="Verdana"/>
          <w:sz w:val="22"/>
          <w:lang w:val="en-US"/>
        </w:rPr>
      </w:pPr>
      <w:r w:rsidRPr="007853BA">
        <w:rPr>
          <w:rFonts w:ascii="Verdana" w:hAnsi="Verdana"/>
          <w:sz w:val="22"/>
          <w:lang w:val="en-US"/>
        </w:rPr>
        <w:t>Case 1A: Base Case: Pure run-off business with – 1 contract without revaluation of the projected cash-flows</w:t>
      </w:r>
    </w:p>
    <w:p w:rsidR="00D26C11" w:rsidRPr="00D26C11" w:rsidRDefault="00D26C11" w:rsidP="00D26C11">
      <w:pPr>
        <w:rPr>
          <w:lang w:val="en-US"/>
        </w:rPr>
      </w:pPr>
    </w:p>
    <w:p w:rsidR="004B1B4A" w:rsidRDefault="00160294" w:rsidP="003E2030">
      <w:pPr>
        <w:rPr>
          <w:rFonts w:ascii="Verdana" w:hAnsi="Verdana"/>
          <w:lang w:val="en-US"/>
        </w:rPr>
      </w:pPr>
      <w:r w:rsidRPr="00160294">
        <w:rPr>
          <w:noProof/>
          <w:lang w:val="en-GB" w:eastAsia="en-GB"/>
        </w:rPr>
        <w:drawing>
          <wp:inline distT="0" distB="0" distL="0" distR="0" wp14:anchorId="62611724" wp14:editId="0EB580D0">
            <wp:extent cx="4374515" cy="3723640"/>
            <wp:effectExtent l="0" t="0" r="698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374515" cy="3723640"/>
                    </a:xfrm>
                    <a:prstGeom prst="rect">
                      <a:avLst/>
                    </a:prstGeom>
                    <a:noFill/>
                    <a:ln>
                      <a:noFill/>
                    </a:ln>
                  </pic:spPr>
                </pic:pic>
              </a:graphicData>
            </a:graphic>
          </wp:inline>
        </w:drawing>
      </w:r>
    </w:p>
    <w:p w:rsidR="004B1B4A" w:rsidRDefault="004B1B4A" w:rsidP="00D00E8A">
      <w:pPr>
        <w:rPr>
          <w:rFonts w:ascii="Verdana" w:hAnsi="Verdana"/>
          <w:lang w:val="en-US"/>
        </w:rPr>
      </w:pPr>
    </w:p>
    <w:p w:rsidR="00160294" w:rsidRDefault="00160294" w:rsidP="004B1B4A">
      <w:pPr>
        <w:rPr>
          <w:rFonts w:ascii="Verdana" w:hAnsi="Verdana"/>
          <w:lang w:val="en-US"/>
        </w:rPr>
      </w:pPr>
      <w:r w:rsidRPr="00160294">
        <w:rPr>
          <w:noProof/>
          <w:lang w:val="en-GB" w:eastAsia="en-GB"/>
        </w:rPr>
        <w:drawing>
          <wp:inline distT="0" distB="0" distL="0" distR="0" wp14:anchorId="2F30CED0" wp14:editId="6F773EBB">
            <wp:extent cx="5760720" cy="8258221"/>
            <wp:effectExtent l="0" t="0" r="0" b="952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60720" cy="8258221"/>
                    </a:xfrm>
                    <a:prstGeom prst="rect">
                      <a:avLst/>
                    </a:prstGeom>
                    <a:noFill/>
                    <a:ln>
                      <a:noFill/>
                    </a:ln>
                  </pic:spPr>
                </pic:pic>
              </a:graphicData>
            </a:graphic>
          </wp:inline>
        </w:drawing>
      </w:r>
      <w:r w:rsidR="004B1B4A" w:rsidRPr="007853BA">
        <w:rPr>
          <w:rFonts w:ascii="Verdana" w:hAnsi="Verdana"/>
          <w:lang w:val="en-US"/>
        </w:rPr>
        <w:t xml:space="preserve"> </w:t>
      </w:r>
    </w:p>
    <w:p w:rsidR="00160294" w:rsidRDefault="00160294" w:rsidP="004B1B4A">
      <w:pPr>
        <w:rPr>
          <w:rFonts w:ascii="Verdana" w:hAnsi="Verdana"/>
          <w:lang w:val="en-US"/>
        </w:rPr>
      </w:pPr>
    </w:p>
    <w:p w:rsidR="004B1B4A" w:rsidRPr="007853BA" w:rsidRDefault="004B1B4A" w:rsidP="004B1B4A">
      <w:pPr>
        <w:rPr>
          <w:rFonts w:ascii="Verdana" w:hAnsi="Verdana"/>
          <w:lang w:val="en-US"/>
        </w:rPr>
      </w:pPr>
      <w:r w:rsidRPr="008620C2">
        <w:rPr>
          <w:rFonts w:ascii="Verdana" w:hAnsi="Verdana"/>
          <w:lang w:val="en-US"/>
        </w:rPr>
        <w:t>Notes/explanations:</w:t>
      </w:r>
    </w:p>
    <w:p w:rsidR="004B1B4A" w:rsidRPr="007853BA" w:rsidRDefault="004B1B4A" w:rsidP="004B1B4A">
      <w:pPr>
        <w:rPr>
          <w:rFonts w:ascii="Verdana" w:hAnsi="Verdana"/>
          <w:b/>
          <w:lang w:val="en-US"/>
        </w:rPr>
      </w:pPr>
      <w:r w:rsidRPr="007853BA">
        <w:rPr>
          <w:rFonts w:ascii="Verdana" w:hAnsi="Verdana"/>
          <w:b/>
          <w:lang w:val="en-US"/>
        </w:rPr>
        <w:t>S.29.03</w:t>
      </w:r>
    </w:p>
    <w:p w:rsidR="004B1B4A" w:rsidRPr="007853BA" w:rsidRDefault="004B1B4A" w:rsidP="004B1B4A">
      <w:pPr>
        <w:rPr>
          <w:rFonts w:ascii="Verdana" w:hAnsi="Verdana"/>
          <w:lang w:val="en-US"/>
        </w:rPr>
      </w:pPr>
      <w:r w:rsidRPr="007853BA">
        <w:rPr>
          <w:rFonts w:ascii="Verdana" w:hAnsi="Verdana"/>
          <w:lang w:val="en-US"/>
        </w:rPr>
        <w:t xml:space="preserve">R0220: minus the estimated CF projected for the year that is finishing </w:t>
      </w:r>
    </w:p>
    <w:p w:rsidR="004B1B4A" w:rsidRPr="007853BA" w:rsidRDefault="004B1B4A" w:rsidP="004B1B4A">
      <w:pPr>
        <w:jc w:val="both"/>
        <w:rPr>
          <w:rFonts w:ascii="Verdana" w:hAnsi="Verdana"/>
          <w:lang w:val="en-US"/>
        </w:rPr>
      </w:pPr>
      <w:r w:rsidRPr="007853BA">
        <w:rPr>
          <w:rFonts w:ascii="Verdana" w:hAnsi="Verdana"/>
          <w:lang w:val="en-US"/>
        </w:rPr>
        <w:t xml:space="preserve">R0320: reflects the amount </w:t>
      </w:r>
      <w:r w:rsidR="00584A53">
        <w:rPr>
          <w:rFonts w:ascii="Verdana" w:hAnsi="Verdana"/>
          <w:lang w:val="en-US"/>
        </w:rPr>
        <w:t>settled</w:t>
      </w:r>
      <w:r w:rsidRPr="007853BA">
        <w:rPr>
          <w:rFonts w:ascii="Verdana" w:hAnsi="Verdana"/>
          <w:lang w:val="en-US"/>
        </w:rPr>
        <w:t xml:space="preserve"> during the reporting period</w:t>
      </w:r>
    </w:p>
    <w:p w:rsidR="004B1B4A" w:rsidRPr="007853BA" w:rsidRDefault="004B1B4A">
      <w:pPr>
        <w:jc w:val="both"/>
        <w:rPr>
          <w:rFonts w:ascii="Verdana" w:hAnsi="Verdana"/>
          <w:lang w:val="en-US"/>
        </w:rPr>
      </w:pPr>
      <w:r w:rsidRPr="007853BA">
        <w:rPr>
          <w:rFonts w:ascii="Verdana" w:hAnsi="Verdana"/>
          <w:lang w:val="en-US"/>
        </w:rPr>
        <w:t>R0360: Reflects the impact in the EoAoL, i.e. the fact that in year 1 undertaking paid 20 more than projected</w:t>
      </w:r>
      <w:r w:rsidRPr="008620C2">
        <w:rPr>
          <w:rFonts w:ascii="Verdana" w:hAnsi="Verdana"/>
          <w:lang w:val="en-US"/>
        </w:rPr>
        <w:t>.</w:t>
      </w:r>
    </w:p>
    <w:p w:rsidR="00A13D5C" w:rsidRDefault="007F22DC" w:rsidP="004B1B4A">
      <w:pPr>
        <w:rPr>
          <w:rFonts w:ascii="Verdana" w:hAnsi="Verdana"/>
          <w:lang w:val="en-US"/>
        </w:rPr>
      </w:pPr>
      <w:r w:rsidRPr="007F22DC">
        <w:rPr>
          <w:rFonts w:ascii="Verdana" w:hAnsi="Verdana"/>
          <w:lang w:val="en-US"/>
        </w:rPr>
        <w:t xml:space="preserve"> </w:t>
      </w:r>
      <w:r w:rsidR="00160294" w:rsidRPr="00160294">
        <w:rPr>
          <w:noProof/>
          <w:lang w:val="en-GB" w:eastAsia="en-GB"/>
        </w:rPr>
        <w:drawing>
          <wp:inline distT="0" distB="0" distL="0" distR="0" wp14:anchorId="406EB0B0" wp14:editId="465850A3">
            <wp:extent cx="5760720" cy="1908901"/>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60720" cy="1908901"/>
                    </a:xfrm>
                    <a:prstGeom prst="rect">
                      <a:avLst/>
                    </a:prstGeom>
                    <a:noFill/>
                    <a:ln>
                      <a:noFill/>
                    </a:ln>
                  </pic:spPr>
                </pic:pic>
              </a:graphicData>
            </a:graphic>
          </wp:inline>
        </w:drawing>
      </w:r>
    </w:p>
    <w:p w:rsidR="004B1B4A" w:rsidRPr="007853BA" w:rsidRDefault="004B1B4A" w:rsidP="004B1B4A">
      <w:pPr>
        <w:rPr>
          <w:rFonts w:ascii="Verdana" w:hAnsi="Verdana"/>
          <w:lang w:val="en-US"/>
        </w:rPr>
      </w:pPr>
      <w:r w:rsidRPr="007853BA">
        <w:rPr>
          <w:rFonts w:ascii="Verdana" w:hAnsi="Verdana"/>
          <w:lang w:val="en-US"/>
        </w:rPr>
        <w:t>Notes/explanations:</w:t>
      </w:r>
    </w:p>
    <w:p w:rsidR="004B1B4A" w:rsidRPr="007853BA" w:rsidRDefault="004B1B4A" w:rsidP="004B1B4A">
      <w:pPr>
        <w:rPr>
          <w:rFonts w:ascii="Verdana" w:hAnsi="Verdana"/>
          <w:b/>
          <w:lang w:val="en-US"/>
        </w:rPr>
      </w:pPr>
      <w:r w:rsidRPr="007853BA">
        <w:rPr>
          <w:rFonts w:ascii="Verdana" w:hAnsi="Verdana"/>
          <w:b/>
          <w:lang w:val="en-US"/>
        </w:rPr>
        <w:t>S.29.04</w:t>
      </w:r>
    </w:p>
    <w:p w:rsidR="004B1B4A" w:rsidRPr="007853BA" w:rsidRDefault="004B1B4A" w:rsidP="004B1B4A">
      <w:pPr>
        <w:jc w:val="both"/>
        <w:rPr>
          <w:rFonts w:ascii="Verdana" w:hAnsi="Verdana"/>
          <w:lang w:val="en-US"/>
        </w:rPr>
      </w:pPr>
      <w:r w:rsidRPr="007853BA">
        <w:rPr>
          <w:rFonts w:ascii="Verdana" w:hAnsi="Verdana"/>
          <w:lang w:val="en-US"/>
        </w:rPr>
        <w:t xml:space="preserve">R0090: reflects the amount </w:t>
      </w:r>
      <w:r w:rsidR="00584A53">
        <w:rPr>
          <w:rFonts w:ascii="Verdana" w:hAnsi="Verdana"/>
          <w:lang w:val="en-US"/>
        </w:rPr>
        <w:t>settled</w:t>
      </w:r>
      <w:r w:rsidR="00584A53" w:rsidRPr="007853BA">
        <w:rPr>
          <w:rFonts w:ascii="Verdana" w:hAnsi="Verdana"/>
          <w:lang w:val="en-US"/>
        </w:rPr>
        <w:t xml:space="preserve"> </w:t>
      </w:r>
      <w:r w:rsidRPr="007853BA">
        <w:rPr>
          <w:rFonts w:ascii="Verdana" w:hAnsi="Verdana"/>
          <w:lang w:val="en-US"/>
        </w:rPr>
        <w:t>during the reporting period</w:t>
      </w:r>
    </w:p>
    <w:p w:rsidR="004B1B4A" w:rsidRPr="007853BA" w:rsidRDefault="004B1B4A">
      <w:pPr>
        <w:jc w:val="both"/>
        <w:rPr>
          <w:rFonts w:ascii="Verdana" w:hAnsi="Verdana"/>
          <w:lang w:val="en-US"/>
        </w:rPr>
      </w:pPr>
      <w:r w:rsidRPr="007853BA">
        <w:rPr>
          <w:rFonts w:ascii="Verdana" w:hAnsi="Verdana"/>
          <w:lang w:val="en-US"/>
        </w:rPr>
        <w:t xml:space="preserve">R0110: </w:t>
      </w:r>
      <w:r w:rsidRPr="008620C2">
        <w:rPr>
          <w:rFonts w:ascii="Verdana" w:hAnsi="Verdana"/>
          <w:lang w:val="en-US"/>
        </w:rPr>
        <w:t xml:space="preserve">This is the variation of effects </w:t>
      </w:r>
      <w:r w:rsidR="002460BD" w:rsidRPr="00BB09C7">
        <w:rPr>
          <w:rFonts w:ascii="Verdana" w:hAnsi="Verdana"/>
          <w:color w:val="FF0000"/>
          <w:lang w:val="en-US"/>
        </w:rPr>
        <w:t xml:space="preserve">directly linked to the acceptance of risks </w:t>
      </w:r>
      <w:r w:rsidR="00D42290">
        <w:rPr>
          <w:rFonts w:ascii="Verdana" w:hAnsi="Verdana"/>
          <w:lang w:val="en-US"/>
        </w:rPr>
        <w:t xml:space="preserve">referring to risks covered prior to period </w:t>
      </w:r>
      <w:r w:rsidRPr="008620C2">
        <w:rPr>
          <w:rFonts w:ascii="Verdana" w:hAnsi="Verdana"/>
          <w:lang w:val="en-US"/>
        </w:rPr>
        <w:t xml:space="preserve">captured in </w:t>
      </w:r>
      <w:r w:rsidRPr="00BB09C7">
        <w:rPr>
          <w:rFonts w:ascii="Verdana" w:hAnsi="Verdana"/>
          <w:color w:val="FF0000"/>
          <w:lang w:val="en-US"/>
        </w:rPr>
        <w:t>R0</w:t>
      </w:r>
      <w:r w:rsidR="002464E9" w:rsidRPr="00BB09C7">
        <w:rPr>
          <w:rFonts w:ascii="Verdana" w:hAnsi="Verdana"/>
          <w:color w:val="FF0000"/>
          <w:lang w:val="en-US"/>
        </w:rPr>
        <w:t>2</w:t>
      </w:r>
      <w:r w:rsidRPr="00BB09C7">
        <w:rPr>
          <w:rFonts w:ascii="Verdana" w:hAnsi="Verdana"/>
          <w:color w:val="FF0000"/>
          <w:lang w:val="en-US"/>
        </w:rPr>
        <w:t>10</w:t>
      </w:r>
      <w:r w:rsidRPr="008620C2">
        <w:rPr>
          <w:rFonts w:ascii="Verdana" w:hAnsi="Verdana"/>
          <w:lang w:val="en-US"/>
        </w:rPr>
        <w:t xml:space="preserve"> up to </w:t>
      </w:r>
      <w:r w:rsidRPr="00BB09C7">
        <w:rPr>
          <w:rFonts w:ascii="Verdana" w:hAnsi="Verdana"/>
          <w:color w:val="FF0000"/>
          <w:lang w:val="en-US"/>
        </w:rPr>
        <w:t>R02</w:t>
      </w:r>
      <w:r w:rsidR="00312944" w:rsidRPr="00BB09C7">
        <w:rPr>
          <w:rFonts w:ascii="Verdana" w:hAnsi="Verdana"/>
          <w:color w:val="FF0000"/>
          <w:lang w:val="en-US"/>
        </w:rPr>
        <w:t>5</w:t>
      </w:r>
      <w:r w:rsidRPr="00BB09C7">
        <w:rPr>
          <w:rFonts w:ascii="Verdana" w:hAnsi="Verdana"/>
          <w:color w:val="FF0000"/>
          <w:lang w:val="en-US"/>
        </w:rPr>
        <w:t>0</w:t>
      </w:r>
      <w:r w:rsidRPr="008620C2">
        <w:rPr>
          <w:rFonts w:ascii="Verdana" w:hAnsi="Verdana"/>
          <w:lang w:val="en-US"/>
        </w:rPr>
        <w:t xml:space="preserve"> in the S.29.03, i.e. -60 (of course only if the anaylsis in S.29.03 is performed on the LOB basis).</w:t>
      </w:r>
    </w:p>
    <w:p w:rsidR="004B1B4A" w:rsidRPr="007853BA" w:rsidRDefault="004B1B4A" w:rsidP="007853BA">
      <w:pPr>
        <w:jc w:val="both"/>
        <w:rPr>
          <w:rFonts w:ascii="Verdana" w:hAnsi="Verdana"/>
          <w:lang w:val="en-US"/>
        </w:rPr>
      </w:pPr>
      <w:r w:rsidRPr="007853BA">
        <w:rPr>
          <w:rFonts w:ascii="Verdana" w:hAnsi="Verdana"/>
          <w:lang w:val="en-US"/>
        </w:rPr>
        <w:t xml:space="preserve">R0140: </w:t>
      </w:r>
      <w:r w:rsidRPr="008620C2">
        <w:rPr>
          <w:rFonts w:ascii="Verdana" w:hAnsi="Verdana"/>
          <w:lang w:val="en-US"/>
        </w:rPr>
        <w:t xml:space="preserve">Note that the amount reported in S.29.03/R0360 and S.29.04/R0140 should </w:t>
      </w:r>
      <w:r w:rsidRPr="00EA393A">
        <w:rPr>
          <w:rFonts w:ascii="Verdana" w:hAnsi="Verdana"/>
          <w:lang w:val="en-US"/>
        </w:rPr>
        <w:t xml:space="preserve">be the same with </w:t>
      </w:r>
      <w:r w:rsidR="00EA393A">
        <w:rPr>
          <w:rFonts w:ascii="Verdana" w:hAnsi="Verdana"/>
          <w:lang w:val="en-US"/>
        </w:rPr>
        <w:t>same</w:t>
      </w:r>
      <w:r w:rsidRPr="00EA393A">
        <w:rPr>
          <w:rFonts w:ascii="Verdana" w:hAnsi="Verdana"/>
          <w:lang w:val="en-US"/>
        </w:rPr>
        <w:t xml:space="preserve"> signs</w:t>
      </w:r>
      <w:r w:rsidRPr="008620C2">
        <w:rPr>
          <w:rFonts w:ascii="Verdana" w:hAnsi="Verdana"/>
          <w:lang w:val="en-US"/>
        </w:rPr>
        <w:t xml:space="preserve"> (this can only hold if either analysis is performed on a segment/LOB basis and if there are no unexplained changes in R0260 in S.29.03). </w:t>
      </w:r>
    </w:p>
    <w:p w:rsidR="00DD0F1F" w:rsidRDefault="00DD0F1F">
      <w:pPr>
        <w:rPr>
          <w:rFonts w:ascii="Verdana" w:hAnsi="Verdana"/>
          <w:lang w:val="en-US"/>
        </w:rPr>
      </w:pPr>
      <w:r>
        <w:rPr>
          <w:rFonts w:ascii="Verdana" w:hAnsi="Verdana"/>
          <w:lang w:val="en-US"/>
        </w:rPr>
        <w:br w:type="page"/>
      </w:r>
    </w:p>
    <w:p w:rsidR="00D26C11" w:rsidRPr="007853BA" w:rsidRDefault="00D26C11" w:rsidP="007853BA">
      <w:pPr>
        <w:pStyle w:val="Heading1"/>
        <w:rPr>
          <w:rFonts w:ascii="Verdana" w:hAnsi="Verdana"/>
          <w:lang w:val="en-US"/>
        </w:rPr>
      </w:pPr>
      <w:r w:rsidRPr="007853BA">
        <w:rPr>
          <w:rFonts w:ascii="Verdana" w:hAnsi="Verdana"/>
          <w:sz w:val="22"/>
          <w:lang w:val="en-US"/>
        </w:rPr>
        <w:t>Case 1</w:t>
      </w:r>
      <w:r w:rsidRPr="008620C2">
        <w:rPr>
          <w:rFonts w:ascii="Verdana" w:hAnsi="Verdana"/>
          <w:sz w:val="22"/>
          <w:lang w:val="en-US"/>
        </w:rPr>
        <w:t>B: Base Case: Pure run-off business – 1 contract with revaluation of the projected cash-flows</w:t>
      </w:r>
    </w:p>
    <w:p w:rsidR="003379B5" w:rsidRDefault="004B1B4A" w:rsidP="00D00E8A">
      <w:pPr>
        <w:rPr>
          <w:rFonts w:ascii="Verdana" w:hAnsi="Verdana"/>
          <w:lang w:val="en-US"/>
        </w:rPr>
      </w:pPr>
      <w:r w:rsidRPr="004B1B4A">
        <w:rPr>
          <w:noProof/>
          <w:lang w:val="en-GB" w:eastAsia="en-GB"/>
        </w:rPr>
        <w:drawing>
          <wp:inline distT="0" distB="0" distL="0" distR="0" wp14:anchorId="19A8BC23" wp14:editId="5D663A85">
            <wp:extent cx="4371340" cy="3331845"/>
            <wp:effectExtent l="0" t="0" r="0" b="190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371340" cy="3331845"/>
                    </a:xfrm>
                    <a:prstGeom prst="rect">
                      <a:avLst/>
                    </a:prstGeom>
                    <a:noFill/>
                    <a:ln>
                      <a:noFill/>
                    </a:ln>
                  </pic:spPr>
                </pic:pic>
              </a:graphicData>
            </a:graphic>
          </wp:inline>
        </w:drawing>
      </w:r>
    </w:p>
    <w:p w:rsidR="00542AE2" w:rsidRDefault="004B1B4A" w:rsidP="0037353D">
      <w:pPr>
        <w:rPr>
          <w:rFonts w:ascii="Verdana" w:hAnsi="Verdana"/>
          <w:lang w:val="en-US"/>
        </w:rPr>
      </w:pPr>
      <w:r w:rsidRPr="004B1B4A">
        <w:rPr>
          <w:rFonts w:ascii="Verdana" w:hAnsi="Verdana"/>
          <w:lang w:val="en-US"/>
        </w:rPr>
        <w:t xml:space="preserve"> </w:t>
      </w:r>
      <w:r w:rsidRPr="004B1B4A">
        <w:rPr>
          <w:noProof/>
          <w:lang w:val="en-GB" w:eastAsia="en-GB"/>
        </w:rPr>
        <w:drawing>
          <wp:inline distT="0" distB="0" distL="0" distR="0" wp14:anchorId="55AD78D1" wp14:editId="107219F4">
            <wp:extent cx="5760720" cy="6532249"/>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60720" cy="6532249"/>
                    </a:xfrm>
                    <a:prstGeom prst="rect">
                      <a:avLst/>
                    </a:prstGeom>
                    <a:noFill/>
                    <a:ln>
                      <a:noFill/>
                    </a:ln>
                  </pic:spPr>
                </pic:pic>
              </a:graphicData>
            </a:graphic>
          </wp:inline>
        </w:drawing>
      </w:r>
    </w:p>
    <w:p w:rsidR="00D00E8A" w:rsidRPr="007853BA" w:rsidRDefault="00D00E8A" w:rsidP="0037353D">
      <w:pPr>
        <w:rPr>
          <w:rFonts w:ascii="Verdana" w:hAnsi="Verdana"/>
          <w:lang w:val="en-US"/>
        </w:rPr>
      </w:pPr>
      <w:r w:rsidRPr="007853BA">
        <w:rPr>
          <w:rFonts w:ascii="Verdana" w:hAnsi="Verdana"/>
          <w:lang w:val="en-US"/>
        </w:rPr>
        <w:t>Notes</w:t>
      </w:r>
      <w:r w:rsidR="00542AE2" w:rsidRPr="008620C2">
        <w:rPr>
          <w:rFonts w:ascii="Verdana" w:hAnsi="Verdana"/>
          <w:lang w:val="en-US"/>
        </w:rPr>
        <w:t>/explanations:</w:t>
      </w:r>
    </w:p>
    <w:p w:rsidR="0037353D" w:rsidRPr="007853BA" w:rsidRDefault="0037353D" w:rsidP="0037353D">
      <w:pPr>
        <w:rPr>
          <w:rFonts w:ascii="Verdana" w:hAnsi="Verdana"/>
          <w:b/>
          <w:lang w:val="en-US"/>
        </w:rPr>
      </w:pPr>
      <w:r w:rsidRPr="007853BA">
        <w:rPr>
          <w:rFonts w:ascii="Verdana" w:hAnsi="Verdana"/>
          <w:b/>
          <w:lang w:val="en-US"/>
        </w:rPr>
        <w:t>S.29.03</w:t>
      </w:r>
    </w:p>
    <w:p w:rsidR="00542AE2" w:rsidRPr="007853BA" w:rsidRDefault="00542AE2" w:rsidP="0037353D">
      <w:pPr>
        <w:rPr>
          <w:rFonts w:ascii="Verdana" w:hAnsi="Verdana"/>
          <w:lang w:val="en-US"/>
        </w:rPr>
      </w:pPr>
      <w:r w:rsidRPr="007853BA">
        <w:rPr>
          <w:rFonts w:ascii="Verdana" w:hAnsi="Verdana"/>
          <w:lang w:val="en-US"/>
        </w:rPr>
        <w:t xml:space="preserve">R0220: minus the estimated CF projected for the year that is finishing </w:t>
      </w:r>
    </w:p>
    <w:p w:rsidR="00100D47" w:rsidRPr="007853BA" w:rsidRDefault="0037353D" w:rsidP="003D0AD7">
      <w:pPr>
        <w:jc w:val="both"/>
        <w:rPr>
          <w:rFonts w:ascii="Verdana" w:hAnsi="Verdana"/>
          <w:lang w:val="en-US"/>
        </w:rPr>
      </w:pPr>
      <w:r w:rsidRPr="007853BA">
        <w:rPr>
          <w:rFonts w:ascii="Verdana" w:hAnsi="Verdana"/>
          <w:lang w:val="en-US"/>
        </w:rPr>
        <w:t xml:space="preserve">R0240: </w:t>
      </w:r>
      <w:r w:rsidRPr="008620C2">
        <w:rPr>
          <w:rFonts w:ascii="Verdana" w:hAnsi="Verdana"/>
          <w:lang w:val="en-US"/>
        </w:rPr>
        <w:t>the difference between the expected and projected CFs is due to a change in a non-economic assumption (e.g</w:t>
      </w:r>
      <w:r w:rsidR="00100D47" w:rsidRPr="008620C2">
        <w:rPr>
          <w:rFonts w:ascii="Verdana" w:hAnsi="Verdana"/>
          <w:lang w:val="en-US"/>
        </w:rPr>
        <w:t>.</w:t>
      </w:r>
      <w:r w:rsidRPr="008620C2">
        <w:rPr>
          <w:rFonts w:ascii="Verdana" w:hAnsi="Verdana"/>
          <w:lang w:val="en-US"/>
        </w:rPr>
        <w:t xml:space="preserve"> new assumption in the reserving methodology) then this amount would be captured here. </w:t>
      </w:r>
      <w:r w:rsidR="00100D47" w:rsidRPr="008620C2">
        <w:rPr>
          <w:rFonts w:ascii="Verdana" w:hAnsi="Verdana"/>
          <w:lang w:val="en-US"/>
        </w:rPr>
        <w:t xml:space="preserve">It should be the difference between the projection </w:t>
      </w:r>
      <w:r w:rsidR="00673D71" w:rsidRPr="008620C2">
        <w:rPr>
          <w:rFonts w:ascii="Verdana" w:hAnsi="Verdana"/>
          <w:lang w:val="en-US"/>
        </w:rPr>
        <w:t>at the end of the year (35+20)</w:t>
      </w:r>
      <w:r w:rsidR="00673D71">
        <w:rPr>
          <w:rFonts w:ascii="Verdana" w:hAnsi="Verdana"/>
          <w:lang w:val="en-US"/>
        </w:rPr>
        <w:t xml:space="preserve"> </w:t>
      </w:r>
      <w:r w:rsidR="00673D71" w:rsidRPr="008620C2">
        <w:rPr>
          <w:rFonts w:ascii="Verdana" w:hAnsi="Verdana"/>
          <w:lang w:val="en-US"/>
        </w:rPr>
        <w:t xml:space="preserve">and the projection </w:t>
      </w:r>
      <w:r w:rsidR="00100D47" w:rsidRPr="008620C2">
        <w:rPr>
          <w:rFonts w:ascii="Verdana" w:hAnsi="Verdana"/>
          <w:lang w:val="en-US"/>
        </w:rPr>
        <w:t>at beginning of the year for the following years (30+10).</w:t>
      </w:r>
    </w:p>
    <w:p w:rsidR="0037353D" w:rsidRPr="007853BA" w:rsidRDefault="00100D47" w:rsidP="007853BA">
      <w:pPr>
        <w:jc w:val="both"/>
        <w:rPr>
          <w:rFonts w:ascii="Verdana" w:hAnsi="Verdana"/>
          <w:lang w:val="en-US"/>
        </w:rPr>
      </w:pPr>
      <w:r w:rsidRPr="007853BA">
        <w:rPr>
          <w:rFonts w:ascii="Verdana" w:hAnsi="Verdana"/>
          <w:lang w:val="en-US"/>
        </w:rPr>
        <w:t>Please note that i</w:t>
      </w:r>
      <w:r w:rsidR="0037353D" w:rsidRPr="008620C2">
        <w:rPr>
          <w:rFonts w:ascii="Verdana" w:hAnsi="Verdana"/>
          <w:lang w:val="en-US"/>
        </w:rPr>
        <w:t>f the change is only due to new information (new diagonal in the claims paid/incurred triangle) this amount would be entered in R230.</w:t>
      </w:r>
    </w:p>
    <w:p w:rsidR="00DD0F1F" w:rsidRPr="007853BA" w:rsidRDefault="00DD0F1F" w:rsidP="00DD0F1F">
      <w:pPr>
        <w:jc w:val="both"/>
        <w:rPr>
          <w:rFonts w:ascii="Verdana" w:hAnsi="Verdana"/>
          <w:lang w:val="en-US"/>
        </w:rPr>
      </w:pPr>
      <w:r w:rsidRPr="007853BA">
        <w:rPr>
          <w:rFonts w:ascii="Verdana" w:hAnsi="Verdana"/>
          <w:lang w:val="en-US"/>
        </w:rPr>
        <w:t xml:space="preserve">R0320: reflects the amount </w:t>
      </w:r>
      <w:r w:rsidR="00584A53">
        <w:rPr>
          <w:rFonts w:ascii="Verdana" w:hAnsi="Verdana"/>
          <w:lang w:val="en-US"/>
        </w:rPr>
        <w:t>settled</w:t>
      </w:r>
      <w:r w:rsidR="00584A53" w:rsidRPr="007853BA">
        <w:rPr>
          <w:rFonts w:ascii="Verdana" w:hAnsi="Verdana"/>
          <w:lang w:val="en-US"/>
        </w:rPr>
        <w:t xml:space="preserve"> </w:t>
      </w:r>
      <w:r w:rsidRPr="007853BA">
        <w:rPr>
          <w:rFonts w:ascii="Verdana" w:hAnsi="Verdana"/>
          <w:lang w:val="en-US"/>
        </w:rPr>
        <w:t>during the reporting period</w:t>
      </w:r>
    </w:p>
    <w:p w:rsidR="0037353D" w:rsidRPr="007853BA" w:rsidRDefault="0037353D">
      <w:pPr>
        <w:jc w:val="both"/>
        <w:rPr>
          <w:rFonts w:ascii="Verdana" w:hAnsi="Verdana"/>
          <w:lang w:val="en-US"/>
        </w:rPr>
      </w:pPr>
      <w:r w:rsidRPr="007853BA">
        <w:rPr>
          <w:rFonts w:ascii="Verdana" w:hAnsi="Verdana"/>
          <w:lang w:val="en-US"/>
        </w:rPr>
        <w:t>R0360:</w:t>
      </w:r>
      <w:r w:rsidR="00100D47" w:rsidRPr="008620C2">
        <w:rPr>
          <w:rFonts w:ascii="Verdana" w:hAnsi="Verdana"/>
          <w:lang w:val="en-US"/>
        </w:rPr>
        <w:t xml:space="preserve"> Reflects the full impact in the EoAoL, i.e. the fact that in year 1 undertaking paid 20 more than projected and in addition increased the projections for following years by 15.  </w:t>
      </w:r>
      <w:r w:rsidRPr="008620C2">
        <w:rPr>
          <w:rFonts w:ascii="Verdana" w:hAnsi="Verdana"/>
          <w:lang w:val="en-US"/>
        </w:rPr>
        <w:t>In total, accordingly, the excess of assets over liabilities is reduced by 3</w:t>
      </w:r>
      <w:r w:rsidR="00100D47" w:rsidRPr="008620C2">
        <w:rPr>
          <w:rFonts w:ascii="Verdana" w:hAnsi="Verdana"/>
          <w:lang w:val="en-US"/>
        </w:rPr>
        <w:t>5</w:t>
      </w:r>
      <w:r w:rsidRPr="008620C2">
        <w:rPr>
          <w:rFonts w:ascii="Verdana" w:hAnsi="Verdana"/>
          <w:lang w:val="en-US"/>
        </w:rPr>
        <w:t>.</w:t>
      </w:r>
    </w:p>
    <w:p w:rsidR="00B328B7" w:rsidRDefault="009C74B8" w:rsidP="00100D47">
      <w:pPr>
        <w:rPr>
          <w:rFonts w:ascii="Verdana" w:hAnsi="Verdana"/>
          <w:lang w:val="en-US"/>
        </w:rPr>
      </w:pPr>
      <w:r w:rsidRPr="009C74B8">
        <w:rPr>
          <w:rFonts w:ascii="Verdana" w:hAnsi="Verdana"/>
          <w:lang w:val="en-US"/>
        </w:rPr>
        <w:t xml:space="preserve"> </w:t>
      </w:r>
      <w:r w:rsidRPr="009C74B8">
        <w:rPr>
          <w:noProof/>
          <w:lang w:val="en-GB" w:eastAsia="en-GB"/>
        </w:rPr>
        <w:drawing>
          <wp:inline distT="0" distB="0" distL="0" distR="0" wp14:anchorId="64912C15" wp14:editId="6CDFBFA5">
            <wp:extent cx="5760720" cy="1626929"/>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60720" cy="1626929"/>
                    </a:xfrm>
                    <a:prstGeom prst="rect">
                      <a:avLst/>
                    </a:prstGeom>
                    <a:noFill/>
                    <a:ln>
                      <a:noFill/>
                    </a:ln>
                  </pic:spPr>
                </pic:pic>
              </a:graphicData>
            </a:graphic>
          </wp:inline>
        </w:drawing>
      </w:r>
    </w:p>
    <w:p w:rsidR="00B328B7" w:rsidRDefault="00B328B7" w:rsidP="00100D47">
      <w:pPr>
        <w:rPr>
          <w:rFonts w:ascii="Verdana" w:hAnsi="Verdana"/>
          <w:lang w:val="en-US"/>
        </w:rPr>
      </w:pPr>
    </w:p>
    <w:p w:rsidR="00100D47" w:rsidRPr="007853BA" w:rsidRDefault="00100D47" w:rsidP="00100D47">
      <w:pPr>
        <w:rPr>
          <w:rFonts w:ascii="Verdana" w:hAnsi="Verdana"/>
          <w:lang w:val="en-US"/>
        </w:rPr>
      </w:pPr>
      <w:r w:rsidRPr="007853BA">
        <w:rPr>
          <w:rFonts w:ascii="Verdana" w:hAnsi="Verdana"/>
          <w:lang w:val="en-US"/>
        </w:rPr>
        <w:t>Notes/explanations:</w:t>
      </w:r>
    </w:p>
    <w:p w:rsidR="00100D47" w:rsidRPr="007853BA" w:rsidRDefault="00100D47" w:rsidP="00100D47">
      <w:pPr>
        <w:rPr>
          <w:rFonts w:ascii="Verdana" w:hAnsi="Verdana"/>
          <w:b/>
          <w:lang w:val="en-US"/>
        </w:rPr>
      </w:pPr>
      <w:r w:rsidRPr="007853BA">
        <w:rPr>
          <w:rFonts w:ascii="Verdana" w:hAnsi="Verdana"/>
          <w:b/>
          <w:lang w:val="en-US"/>
        </w:rPr>
        <w:t>S.29.04</w:t>
      </w:r>
    </w:p>
    <w:p w:rsidR="00DD0F1F" w:rsidRPr="007853BA" w:rsidRDefault="00DD0F1F" w:rsidP="00DD0F1F">
      <w:pPr>
        <w:jc w:val="both"/>
        <w:rPr>
          <w:rFonts w:ascii="Verdana" w:hAnsi="Verdana"/>
          <w:lang w:val="en-US"/>
        </w:rPr>
      </w:pPr>
      <w:r w:rsidRPr="007853BA">
        <w:rPr>
          <w:rFonts w:ascii="Verdana" w:hAnsi="Verdana"/>
          <w:lang w:val="en-US"/>
        </w:rPr>
        <w:t xml:space="preserve">R0090: reflects the amount </w:t>
      </w:r>
      <w:r w:rsidR="00584A53">
        <w:rPr>
          <w:rFonts w:ascii="Verdana" w:hAnsi="Verdana"/>
          <w:lang w:val="en-US"/>
        </w:rPr>
        <w:t>settled</w:t>
      </w:r>
      <w:r w:rsidR="00584A53" w:rsidRPr="007853BA">
        <w:rPr>
          <w:rFonts w:ascii="Verdana" w:hAnsi="Verdana"/>
          <w:lang w:val="en-US"/>
        </w:rPr>
        <w:t xml:space="preserve"> </w:t>
      </w:r>
      <w:r w:rsidRPr="007853BA">
        <w:rPr>
          <w:rFonts w:ascii="Verdana" w:hAnsi="Verdana"/>
          <w:lang w:val="en-US"/>
        </w:rPr>
        <w:t>during the reporting period</w:t>
      </w:r>
    </w:p>
    <w:p w:rsidR="0037353D" w:rsidRPr="007853BA" w:rsidRDefault="0037353D">
      <w:pPr>
        <w:jc w:val="both"/>
        <w:rPr>
          <w:rFonts w:ascii="Verdana" w:hAnsi="Verdana"/>
          <w:lang w:val="en-US"/>
        </w:rPr>
      </w:pPr>
      <w:r w:rsidRPr="007853BA">
        <w:rPr>
          <w:rFonts w:ascii="Verdana" w:hAnsi="Verdana"/>
          <w:lang w:val="en-US"/>
        </w:rPr>
        <w:t>R0110</w:t>
      </w:r>
      <w:r w:rsidR="00100D47" w:rsidRPr="008620C2">
        <w:rPr>
          <w:rFonts w:ascii="Verdana" w:hAnsi="Verdana"/>
          <w:lang w:val="en-US"/>
        </w:rPr>
        <w:t xml:space="preserve">: </w:t>
      </w:r>
      <w:r w:rsidRPr="008620C2">
        <w:rPr>
          <w:rFonts w:ascii="Verdana" w:hAnsi="Verdana"/>
          <w:lang w:val="en-US"/>
        </w:rPr>
        <w:t xml:space="preserve">This is the variation of effects </w:t>
      </w:r>
      <w:r w:rsidR="002460BD" w:rsidRPr="00BB09C7">
        <w:rPr>
          <w:rFonts w:ascii="Verdana" w:hAnsi="Verdana"/>
          <w:color w:val="FF0000"/>
          <w:lang w:val="en-US"/>
        </w:rPr>
        <w:t xml:space="preserve">directly linked to the acceptance of risks </w:t>
      </w:r>
      <w:r w:rsidR="008A2647" w:rsidRPr="00BB09C7">
        <w:rPr>
          <w:rFonts w:ascii="Verdana" w:hAnsi="Verdana"/>
          <w:color w:val="FF0000"/>
          <w:lang w:val="en-US"/>
        </w:rPr>
        <w:t xml:space="preserve">referring to risks covered prior to the period </w:t>
      </w:r>
      <w:r w:rsidRPr="008620C2">
        <w:rPr>
          <w:rFonts w:ascii="Verdana" w:hAnsi="Verdana"/>
          <w:lang w:val="en-US"/>
        </w:rPr>
        <w:t>captured in R0</w:t>
      </w:r>
      <w:r w:rsidR="00312944" w:rsidRPr="00BB09C7">
        <w:rPr>
          <w:rFonts w:ascii="Verdana" w:hAnsi="Verdana"/>
          <w:color w:val="FF0000"/>
          <w:lang w:val="en-US"/>
        </w:rPr>
        <w:t>2</w:t>
      </w:r>
      <w:r w:rsidRPr="00BB09C7">
        <w:rPr>
          <w:rFonts w:ascii="Verdana" w:hAnsi="Verdana"/>
          <w:color w:val="FF0000"/>
          <w:lang w:val="en-US"/>
        </w:rPr>
        <w:t>10</w:t>
      </w:r>
      <w:r w:rsidRPr="008620C2">
        <w:rPr>
          <w:rFonts w:ascii="Verdana" w:hAnsi="Verdana"/>
          <w:lang w:val="en-US"/>
        </w:rPr>
        <w:t xml:space="preserve"> up to R02</w:t>
      </w:r>
      <w:r w:rsidR="00312944" w:rsidRPr="00BB09C7">
        <w:rPr>
          <w:rFonts w:ascii="Verdana" w:hAnsi="Verdana"/>
          <w:color w:val="FF0000"/>
          <w:lang w:val="en-US"/>
        </w:rPr>
        <w:t>5</w:t>
      </w:r>
      <w:r w:rsidRPr="00BB09C7">
        <w:rPr>
          <w:rFonts w:ascii="Verdana" w:hAnsi="Verdana"/>
          <w:color w:val="FF0000"/>
          <w:lang w:val="en-US"/>
        </w:rPr>
        <w:t>0</w:t>
      </w:r>
      <w:r w:rsidRPr="008620C2">
        <w:rPr>
          <w:rFonts w:ascii="Verdana" w:hAnsi="Verdana"/>
          <w:lang w:val="en-US"/>
        </w:rPr>
        <w:t xml:space="preserve"> in the S.29.03</w:t>
      </w:r>
      <w:r w:rsidR="00100D47" w:rsidRPr="008620C2">
        <w:rPr>
          <w:rFonts w:ascii="Verdana" w:hAnsi="Verdana"/>
          <w:lang w:val="en-US"/>
        </w:rPr>
        <w:t>, i.e. -60+15</w:t>
      </w:r>
      <w:r w:rsidRPr="008620C2">
        <w:rPr>
          <w:rFonts w:ascii="Verdana" w:hAnsi="Verdana"/>
          <w:lang w:val="en-US"/>
        </w:rPr>
        <w:t xml:space="preserve"> (of course only if the anaylsis in S.29.03 is performed on the LOB basis</w:t>
      </w:r>
      <w:r w:rsidR="00100D47" w:rsidRPr="008620C2">
        <w:rPr>
          <w:rFonts w:ascii="Verdana" w:hAnsi="Verdana"/>
          <w:lang w:val="en-US"/>
        </w:rPr>
        <w:t>)</w:t>
      </w:r>
      <w:r w:rsidRPr="008620C2">
        <w:rPr>
          <w:rFonts w:ascii="Verdana" w:hAnsi="Verdana"/>
          <w:lang w:val="en-US"/>
        </w:rPr>
        <w:t>.</w:t>
      </w:r>
    </w:p>
    <w:p w:rsidR="0037353D" w:rsidRPr="007853BA" w:rsidRDefault="0037353D" w:rsidP="007853BA">
      <w:pPr>
        <w:jc w:val="both"/>
        <w:rPr>
          <w:rFonts w:ascii="Verdana" w:hAnsi="Verdana"/>
          <w:lang w:val="en-US"/>
        </w:rPr>
      </w:pPr>
      <w:r w:rsidRPr="007853BA">
        <w:rPr>
          <w:rFonts w:ascii="Verdana" w:hAnsi="Verdana"/>
          <w:lang w:val="en-US"/>
        </w:rPr>
        <w:t>R0140</w:t>
      </w:r>
      <w:r w:rsidR="00100D47" w:rsidRPr="008620C2">
        <w:rPr>
          <w:rFonts w:ascii="Verdana" w:hAnsi="Verdana"/>
          <w:lang w:val="en-US"/>
        </w:rPr>
        <w:t xml:space="preserve">: </w:t>
      </w:r>
      <w:r w:rsidR="00DD0F1F" w:rsidRPr="008620C2">
        <w:rPr>
          <w:rFonts w:ascii="Verdana" w:hAnsi="Verdana"/>
          <w:lang w:val="en-US"/>
        </w:rPr>
        <w:t xml:space="preserve">Note that the amount reported in S.29.03/R0360 and S.29.04/R0140 should be the same </w:t>
      </w:r>
      <w:r w:rsidR="00DD0F1F" w:rsidRPr="00EA393A">
        <w:rPr>
          <w:rFonts w:ascii="Verdana" w:hAnsi="Verdana"/>
          <w:lang w:val="en-US"/>
        </w:rPr>
        <w:t xml:space="preserve">with </w:t>
      </w:r>
      <w:r w:rsidR="00EA393A">
        <w:rPr>
          <w:rFonts w:ascii="Verdana" w:hAnsi="Verdana"/>
          <w:lang w:val="en-US"/>
        </w:rPr>
        <w:t>same</w:t>
      </w:r>
      <w:r w:rsidR="00DD0F1F" w:rsidRPr="00EA393A">
        <w:rPr>
          <w:rFonts w:ascii="Verdana" w:hAnsi="Verdana"/>
          <w:lang w:val="en-US"/>
        </w:rPr>
        <w:t xml:space="preserve"> signs</w:t>
      </w:r>
      <w:r w:rsidR="00DD0F1F" w:rsidRPr="008620C2">
        <w:rPr>
          <w:rFonts w:ascii="Verdana" w:hAnsi="Verdana"/>
          <w:lang w:val="en-US"/>
        </w:rPr>
        <w:t xml:space="preserve"> (this can only hold if either analysis is performed on a segment/LOB basis and if there are no unexplained changes in R0260 in S.29.03).</w:t>
      </w:r>
    </w:p>
    <w:p w:rsidR="00D26C11" w:rsidRDefault="00D26C11">
      <w:pPr>
        <w:rPr>
          <w:rFonts w:ascii="Verdana" w:hAnsi="Verdana"/>
          <w:lang w:val="en-US"/>
        </w:rPr>
      </w:pPr>
      <w:r>
        <w:rPr>
          <w:rFonts w:ascii="Verdana" w:hAnsi="Verdana"/>
          <w:lang w:val="en-US"/>
        </w:rPr>
        <w:br w:type="page"/>
      </w:r>
    </w:p>
    <w:p w:rsidR="00D26C11" w:rsidRPr="007853BA" w:rsidRDefault="00D26C11" w:rsidP="007853BA">
      <w:pPr>
        <w:pStyle w:val="Heading1"/>
        <w:rPr>
          <w:rFonts w:ascii="Verdana" w:hAnsi="Verdana"/>
          <w:lang w:val="en-US"/>
        </w:rPr>
      </w:pPr>
      <w:r w:rsidRPr="007853BA">
        <w:rPr>
          <w:rFonts w:ascii="Verdana" w:hAnsi="Verdana"/>
          <w:sz w:val="22"/>
          <w:lang w:val="en-US"/>
        </w:rPr>
        <w:t>Case 1</w:t>
      </w:r>
      <w:r w:rsidRPr="008620C2">
        <w:rPr>
          <w:rFonts w:ascii="Verdana" w:hAnsi="Verdana"/>
          <w:sz w:val="22"/>
          <w:lang w:val="en-US"/>
        </w:rPr>
        <w:t>C: Base Case: Pure run-off business – portfolio</w:t>
      </w:r>
    </w:p>
    <w:p w:rsidR="00D5251E" w:rsidRDefault="00D5251E">
      <w:pPr>
        <w:rPr>
          <w:rFonts w:ascii="Verdana" w:hAnsi="Verdana"/>
          <w:lang w:val="en-US"/>
        </w:rPr>
      </w:pPr>
      <w:r w:rsidRPr="00D5251E">
        <w:rPr>
          <w:noProof/>
          <w:lang w:val="en-GB" w:eastAsia="en-GB"/>
        </w:rPr>
        <w:drawing>
          <wp:inline distT="0" distB="0" distL="0" distR="0" wp14:anchorId="521A8918" wp14:editId="4F6454D6">
            <wp:extent cx="4367530" cy="120713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367530" cy="1207135"/>
                    </a:xfrm>
                    <a:prstGeom prst="rect">
                      <a:avLst/>
                    </a:prstGeom>
                    <a:noFill/>
                    <a:ln>
                      <a:noFill/>
                    </a:ln>
                  </pic:spPr>
                </pic:pic>
              </a:graphicData>
            </a:graphic>
          </wp:inline>
        </w:drawing>
      </w:r>
    </w:p>
    <w:p w:rsidR="00D5251E" w:rsidRPr="007853BA" w:rsidRDefault="00D5251E" w:rsidP="00D5251E">
      <w:pPr>
        <w:jc w:val="both"/>
        <w:rPr>
          <w:rFonts w:ascii="Verdana" w:hAnsi="Verdana"/>
          <w:lang w:val="en-US"/>
        </w:rPr>
      </w:pPr>
      <w:r w:rsidRPr="007853BA">
        <w:rPr>
          <w:rFonts w:ascii="Verdana" w:hAnsi="Verdana"/>
          <w:lang w:val="en-US"/>
        </w:rPr>
        <w:t>Triangles wit</w:t>
      </w:r>
      <w:r w:rsidRPr="008620C2">
        <w:rPr>
          <w:rFonts w:ascii="Verdana" w:hAnsi="Verdana"/>
          <w:lang w:val="en-US"/>
        </w:rPr>
        <w:t>h cash-flows and expenses of the opening and closing best estimate. For the purposes of the template cash-ins do not need to be separated from cash-outs.</w:t>
      </w:r>
    </w:p>
    <w:p w:rsidR="00D5251E" w:rsidRDefault="00D5251E">
      <w:pPr>
        <w:rPr>
          <w:rFonts w:ascii="Verdana" w:hAnsi="Verdana"/>
          <w:lang w:val="en-US"/>
        </w:rPr>
      </w:pPr>
      <w:r w:rsidRPr="00D5251E">
        <w:rPr>
          <w:noProof/>
          <w:lang w:val="en-GB" w:eastAsia="en-GB"/>
        </w:rPr>
        <w:drawing>
          <wp:inline distT="0" distB="0" distL="0" distR="0" wp14:anchorId="122F41EC" wp14:editId="0DC57BE7">
            <wp:extent cx="5760720" cy="2908402"/>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60720" cy="2908402"/>
                    </a:xfrm>
                    <a:prstGeom prst="rect">
                      <a:avLst/>
                    </a:prstGeom>
                    <a:noFill/>
                    <a:ln>
                      <a:noFill/>
                    </a:ln>
                  </pic:spPr>
                </pic:pic>
              </a:graphicData>
            </a:graphic>
          </wp:inline>
        </w:drawing>
      </w:r>
    </w:p>
    <w:p w:rsidR="00D5251E" w:rsidRPr="007853BA" w:rsidRDefault="00D5251E">
      <w:pPr>
        <w:rPr>
          <w:rFonts w:ascii="Verdana" w:hAnsi="Verdana"/>
          <w:lang w:val="en-US"/>
        </w:rPr>
      </w:pPr>
      <w:r w:rsidRPr="007853BA">
        <w:rPr>
          <w:rFonts w:ascii="Verdana" w:hAnsi="Verdana"/>
          <w:lang w:val="en-US"/>
        </w:rPr>
        <w:t>Technical flows:</w:t>
      </w:r>
    </w:p>
    <w:p w:rsidR="00D5251E" w:rsidRDefault="00D5251E">
      <w:pPr>
        <w:rPr>
          <w:rFonts w:ascii="Verdana" w:hAnsi="Verdana"/>
          <w:lang w:val="en-US"/>
        </w:rPr>
      </w:pPr>
      <w:r w:rsidRPr="00D5251E">
        <w:rPr>
          <w:noProof/>
          <w:lang w:val="en-GB" w:eastAsia="en-GB"/>
        </w:rPr>
        <w:drawing>
          <wp:inline distT="0" distB="0" distL="0" distR="0" wp14:anchorId="3B17EDEF" wp14:editId="26ACD97A">
            <wp:extent cx="2214880" cy="360938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217959" cy="3614403"/>
                    </a:xfrm>
                    <a:prstGeom prst="rect">
                      <a:avLst/>
                    </a:prstGeom>
                    <a:noFill/>
                    <a:ln>
                      <a:noFill/>
                    </a:ln>
                  </pic:spPr>
                </pic:pic>
              </a:graphicData>
            </a:graphic>
          </wp:inline>
        </w:drawing>
      </w:r>
    </w:p>
    <w:p w:rsidR="00D14F12" w:rsidRDefault="00D14F12">
      <w:pPr>
        <w:rPr>
          <w:rFonts w:ascii="Verdana" w:hAnsi="Verdana"/>
          <w:lang w:val="en-US"/>
        </w:rPr>
      </w:pPr>
      <w:r>
        <w:rPr>
          <w:rFonts w:ascii="Verdana" w:hAnsi="Verdana"/>
          <w:lang w:val="en-US"/>
        </w:rPr>
        <w:br w:type="page"/>
      </w:r>
      <w:r w:rsidR="00AF1153" w:rsidRPr="00AF1153">
        <w:rPr>
          <w:noProof/>
          <w:lang w:val="en-GB" w:eastAsia="en-GB"/>
        </w:rPr>
        <w:drawing>
          <wp:inline distT="0" distB="0" distL="0" distR="0" wp14:anchorId="22EAB9F2" wp14:editId="3B8FCDF3">
            <wp:extent cx="5760720" cy="6211089"/>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760720" cy="6211089"/>
                    </a:xfrm>
                    <a:prstGeom prst="rect">
                      <a:avLst/>
                    </a:prstGeom>
                    <a:noFill/>
                    <a:ln>
                      <a:noFill/>
                    </a:ln>
                  </pic:spPr>
                </pic:pic>
              </a:graphicData>
            </a:graphic>
          </wp:inline>
        </w:drawing>
      </w:r>
    </w:p>
    <w:p w:rsidR="003227BE" w:rsidRPr="007853BA" w:rsidRDefault="003227BE" w:rsidP="003227BE">
      <w:pPr>
        <w:rPr>
          <w:rFonts w:ascii="Verdana" w:hAnsi="Verdana"/>
          <w:lang w:val="en-US"/>
        </w:rPr>
      </w:pPr>
      <w:r w:rsidRPr="007853BA">
        <w:rPr>
          <w:rFonts w:ascii="Verdana" w:hAnsi="Verdana"/>
          <w:lang w:val="en-US"/>
        </w:rPr>
        <w:t>Notes/explanations:</w:t>
      </w:r>
    </w:p>
    <w:p w:rsidR="003227BE" w:rsidRPr="007853BA" w:rsidRDefault="003227BE" w:rsidP="003227BE">
      <w:pPr>
        <w:rPr>
          <w:rFonts w:ascii="Verdana" w:hAnsi="Verdana"/>
          <w:b/>
          <w:lang w:val="en-US"/>
        </w:rPr>
      </w:pPr>
      <w:r w:rsidRPr="007853BA">
        <w:rPr>
          <w:rFonts w:ascii="Verdana" w:hAnsi="Verdana"/>
          <w:b/>
          <w:lang w:val="en-US"/>
        </w:rPr>
        <w:t>S.29.03</w:t>
      </w:r>
    </w:p>
    <w:p w:rsidR="00D5251E" w:rsidRPr="007853BA" w:rsidRDefault="00D5251E" w:rsidP="00D5251E">
      <w:pPr>
        <w:jc w:val="both"/>
        <w:rPr>
          <w:rFonts w:ascii="Verdana" w:hAnsi="Verdana"/>
          <w:lang w:val="en-US"/>
        </w:rPr>
      </w:pPr>
      <w:r w:rsidRPr="007853BA">
        <w:rPr>
          <w:rFonts w:ascii="Verdana" w:hAnsi="Verdana"/>
          <w:lang w:val="en-US"/>
        </w:rPr>
        <w:t xml:space="preserve">R0150: opening best estimate is the sum of the 3 </w:t>
      </w:r>
      <w:r w:rsidRPr="008620C2">
        <w:rPr>
          <w:rFonts w:ascii="Verdana" w:hAnsi="Verdana"/>
          <w:lang w:val="en-US"/>
        </w:rPr>
        <w:t>triangles above (cash-in, cash-out and expenses</w:t>
      </w:r>
    </w:p>
    <w:p w:rsidR="00D5251E" w:rsidRPr="007853BA" w:rsidRDefault="00D5251E" w:rsidP="00D5251E">
      <w:pPr>
        <w:jc w:val="both"/>
        <w:rPr>
          <w:rFonts w:ascii="Verdana" w:hAnsi="Verdana"/>
          <w:lang w:val="en-US"/>
        </w:rPr>
      </w:pPr>
      <w:r w:rsidRPr="007853BA">
        <w:rPr>
          <w:rFonts w:ascii="Verdana" w:hAnsi="Verdana"/>
          <w:lang w:val="en-US"/>
        </w:rPr>
        <w:t xml:space="preserve">R0190: risk covered after the period is the difference between closing best estimate and opening best estimate, rows corresponding to years after the period (in this case 2017 and 2018) </w:t>
      </w:r>
    </w:p>
    <w:p w:rsidR="005A3EFD" w:rsidRPr="007853BA" w:rsidRDefault="00D5251E" w:rsidP="00D5251E">
      <w:pPr>
        <w:jc w:val="both"/>
        <w:rPr>
          <w:rFonts w:ascii="Verdana" w:hAnsi="Verdana"/>
          <w:lang w:val="en-US"/>
        </w:rPr>
      </w:pPr>
      <w:r w:rsidRPr="007853BA">
        <w:rPr>
          <w:rFonts w:ascii="Verdana" w:hAnsi="Verdana"/>
          <w:lang w:val="en-US"/>
        </w:rPr>
        <w:t>R0200: risk covered d</w:t>
      </w:r>
      <w:r w:rsidRPr="008620C2">
        <w:rPr>
          <w:rFonts w:ascii="Verdana" w:hAnsi="Verdana"/>
          <w:lang w:val="en-US"/>
        </w:rPr>
        <w:t xml:space="preserve">uring the period is the difference between closing best estimate and opening best estimate, row corresponding to </w:t>
      </w:r>
      <w:r w:rsidR="009A2566" w:rsidRPr="008620C2">
        <w:rPr>
          <w:rFonts w:ascii="Verdana" w:hAnsi="Verdana"/>
          <w:lang w:val="en-US"/>
        </w:rPr>
        <w:t xml:space="preserve">the reporting year </w:t>
      </w:r>
      <w:r w:rsidRPr="008620C2">
        <w:rPr>
          <w:rFonts w:ascii="Verdana" w:hAnsi="Verdana"/>
          <w:lang w:val="en-US"/>
        </w:rPr>
        <w:t>(in this case 201</w:t>
      </w:r>
      <w:r w:rsidR="009A2566" w:rsidRPr="008620C2">
        <w:rPr>
          <w:rFonts w:ascii="Verdana" w:hAnsi="Verdana"/>
          <w:lang w:val="en-US"/>
        </w:rPr>
        <w:t>6</w:t>
      </w:r>
      <w:r w:rsidRPr="008620C2">
        <w:rPr>
          <w:rFonts w:ascii="Verdana" w:hAnsi="Verdana"/>
          <w:lang w:val="en-US"/>
        </w:rPr>
        <w:t>)</w:t>
      </w:r>
    </w:p>
    <w:p w:rsidR="005A3EFD" w:rsidRPr="007853BA" w:rsidRDefault="005A3EFD" w:rsidP="00D5251E">
      <w:pPr>
        <w:jc w:val="both"/>
        <w:rPr>
          <w:rFonts w:ascii="Verdana" w:hAnsi="Verdana"/>
          <w:lang w:val="en-US"/>
        </w:rPr>
      </w:pPr>
      <w:r w:rsidRPr="007853BA">
        <w:rPr>
          <w:rFonts w:ascii="Verdana" w:hAnsi="Verdana"/>
          <w:lang w:val="en-US"/>
        </w:rPr>
        <w:t xml:space="preserve">R0220: </w:t>
      </w:r>
      <w:r w:rsidRPr="008620C2">
        <w:rPr>
          <w:rFonts w:ascii="Verdana" w:hAnsi="Verdana"/>
          <w:lang w:val="en-US"/>
        </w:rPr>
        <w:t xml:space="preserve">projected in and out flows to be paid during the reporting period are the cash-flows reported in the first diagonal, in this case only covering the year prior to the period. E.g. cash-flows from accidents in 2015 projected to be paid in year 1 (2016), or accidents in 2014 projected to be paid in year 2 (2016). </w:t>
      </w:r>
    </w:p>
    <w:p w:rsidR="00D5251E" w:rsidRPr="007853BA" w:rsidRDefault="005A3EFD" w:rsidP="00D5251E">
      <w:pPr>
        <w:jc w:val="both"/>
        <w:rPr>
          <w:rFonts w:ascii="Verdana" w:hAnsi="Verdana"/>
          <w:lang w:val="en-US"/>
        </w:rPr>
      </w:pPr>
      <w:r w:rsidRPr="007853BA">
        <w:rPr>
          <w:rFonts w:ascii="Verdana" w:hAnsi="Verdana"/>
          <w:lang w:val="en-US"/>
        </w:rPr>
        <w:t>R0240: changes in non-</w:t>
      </w:r>
      <w:r w:rsidRPr="008620C2">
        <w:rPr>
          <w:rFonts w:ascii="Verdana" w:hAnsi="Verdana"/>
          <w:lang w:val="en-US"/>
        </w:rPr>
        <w:t>economic assumptions</w:t>
      </w:r>
      <w:r w:rsidR="00D5251E" w:rsidRPr="008620C2">
        <w:rPr>
          <w:rFonts w:ascii="Verdana" w:hAnsi="Verdana"/>
          <w:lang w:val="en-US"/>
        </w:rPr>
        <w:t xml:space="preserve"> </w:t>
      </w:r>
      <w:r w:rsidRPr="008620C2">
        <w:rPr>
          <w:rFonts w:ascii="Verdana" w:hAnsi="Verdana"/>
          <w:lang w:val="en-US"/>
        </w:rPr>
        <w:t>is calculated with the difference between closing best estimate and opening best estimate except the first diagonal already reported in R0220. In this case we are assuming all variations are due to non-economic assumptions</w:t>
      </w:r>
      <w:r w:rsidRPr="007853BA">
        <w:rPr>
          <w:rFonts w:ascii="Verdana" w:hAnsi="Verdana"/>
          <w:lang w:val="en-US"/>
        </w:rPr>
        <w:t>.</w:t>
      </w:r>
    </w:p>
    <w:p w:rsidR="00D5251E" w:rsidRPr="007853BA" w:rsidRDefault="00D5251E" w:rsidP="00D5251E">
      <w:pPr>
        <w:jc w:val="both"/>
        <w:rPr>
          <w:rFonts w:ascii="Verdana" w:hAnsi="Verdana"/>
          <w:lang w:val="en-US"/>
        </w:rPr>
      </w:pPr>
      <w:r w:rsidRPr="007853BA">
        <w:rPr>
          <w:rFonts w:ascii="Verdana" w:hAnsi="Verdana"/>
          <w:lang w:val="en-US"/>
        </w:rPr>
        <w:t xml:space="preserve">R0360: Reflects the full impact in the EoAoL, i.e. the </w:t>
      </w:r>
      <w:r w:rsidR="00AF1153" w:rsidRPr="008620C2">
        <w:rPr>
          <w:rFonts w:ascii="Verdana" w:hAnsi="Verdana"/>
          <w:lang w:val="en-US"/>
        </w:rPr>
        <w:t xml:space="preserve">variation in the best estimate (-16.6) and the impact of the technical flows (11.7), summing -4.9. </w:t>
      </w:r>
    </w:p>
    <w:p w:rsidR="00B328B7" w:rsidRDefault="009C74B8" w:rsidP="00F21300">
      <w:pPr>
        <w:rPr>
          <w:rFonts w:ascii="Verdana" w:hAnsi="Verdana"/>
          <w:lang w:val="en-US"/>
        </w:rPr>
      </w:pPr>
      <w:r w:rsidRPr="009C74B8">
        <w:rPr>
          <w:rFonts w:ascii="Verdana" w:hAnsi="Verdana"/>
          <w:lang w:val="en-US"/>
        </w:rPr>
        <w:t xml:space="preserve"> </w:t>
      </w:r>
      <w:r w:rsidRPr="009C74B8">
        <w:rPr>
          <w:noProof/>
          <w:lang w:val="en-GB" w:eastAsia="en-GB"/>
        </w:rPr>
        <w:drawing>
          <wp:inline distT="0" distB="0" distL="0" distR="0" wp14:anchorId="46D449B5" wp14:editId="79714E18">
            <wp:extent cx="5760720" cy="1523153"/>
            <wp:effectExtent l="0" t="0" r="0" b="127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760720" cy="1523153"/>
                    </a:xfrm>
                    <a:prstGeom prst="rect">
                      <a:avLst/>
                    </a:prstGeom>
                    <a:noFill/>
                    <a:ln>
                      <a:noFill/>
                    </a:ln>
                  </pic:spPr>
                </pic:pic>
              </a:graphicData>
            </a:graphic>
          </wp:inline>
        </w:drawing>
      </w:r>
    </w:p>
    <w:p w:rsidR="00F21300" w:rsidRPr="007853BA" w:rsidRDefault="00F21300" w:rsidP="00F21300">
      <w:pPr>
        <w:rPr>
          <w:rFonts w:ascii="Verdana" w:hAnsi="Verdana"/>
          <w:lang w:val="en-US"/>
        </w:rPr>
      </w:pPr>
      <w:r w:rsidRPr="007853BA">
        <w:rPr>
          <w:rFonts w:ascii="Verdana" w:hAnsi="Verdana"/>
          <w:lang w:val="en-US"/>
        </w:rPr>
        <w:t>Notes/explanations:</w:t>
      </w:r>
    </w:p>
    <w:p w:rsidR="00F21300" w:rsidRPr="007853BA" w:rsidRDefault="00F21300" w:rsidP="00F21300">
      <w:pPr>
        <w:rPr>
          <w:rFonts w:ascii="Verdana" w:hAnsi="Verdana"/>
          <w:b/>
          <w:lang w:val="en-US"/>
        </w:rPr>
      </w:pPr>
      <w:r w:rsidRPr="007853BA">
        <w:rPr>
          <w:rFonts w:ascii="Verdana" w:hAnsi="Verdana"/>
          <w:b/>
          <w:lang w:val="en-US"/>
        </w:rPr>
        <w:t>S.29.04</w:t>
      </w:r>
    </w:p>
    <w:p w:rsidR="00F21300" w:rsidRPr="007853BA" w:rsidRDefault="00F21300" w:rsidP="00F21300">
      <w:pPr>
        <w:jc w:val="both"/>
        <w:rPr>
          <w:rFonts w:ascii="Verdana" w:hAnsi="Verdana"/>
          <w:lang w:val="en-US"/>
        </w:rPr>
      </w:pPr>
      <w:r w:rsidRPr="007853BA">
        <w:rPr>
          <w:rFonts w:ascii="Verdana" w:hAnsi="Verdana"/>
          <w:lang w:val="en-US"/>
        </w:rPr>
        <w:t xml:space="preserve">R0090: reflects the amount </w:t>
      </w:r>
      <w:r w:rsidR="00584A53">
        <w:rPr>
          <w:rFonts w:ascii="Verdana" w:hAnsi="Verdana"/>
          <w:lang w:val="en-US"/>
        </w:rPr>
        <w:t>settled</w:t>
      </w:r>
      <w:r w:rsidR="00584A53" w:rsidRPr="007853BA">
        <w:rPr>
          <w:rFonts w:ascii="Verdana" w:hAnsi="Verdana"/>
          <w:lang w:val="en-US"/>
        </w:rPr>
        <w:t xml:space="preserve"> </w:t>
      </w:r>
      <w:r w:rsidRPr="007853BA">
        <w:rPr>
          <w:rFonts w:ascii="Verdana" w:hAnsi="Verdana"/>
          <w:lang w:val="en-US"/>
        </w:rPr>
        <w:t xml:space="preserve">during the reporting period split between risks covered during and prior to the period. </w:t>
      </w:r>
    </w:p>
    <w:p w:rsidR="00F21300" w:rsidRPr="007853BA" w:rsidRDefault="00F21300" w:rsidP="00F21300">
      <w:pPr>
        <w:jc w:val="both"/>
        <w:rPr>
          <w:rFonts w:ascii="Verdana" w:hAnsi="Verdana"/>
          <w:lang w:val="en-US"/>
        </w:rPr>
      </w:pPr>
      <w:r w:rsidRPr="007853BA">
        <w:rPr>
          <w:rFonts w:ascii="Verdana" w:hAnsi="Verdana"/>
          <w:lang w:val="en-US"/>
        </w:rPr>
        <w:t xml:space="preserve">R0110: </w:t>
      </w:r>
      <w:r w:rsidRPr="008620C2">
        <w:rPr>
          <w:rFonts w:ascii="Verdana" w:hAnsi="Verdana"/>
          <w:lang w:val="en-US"/>
        </w:rPr>
        <w:t xml:space="preserve">This is the variation of effects </w:t>
      </w:r>
      <w:r w:rsidR="002460BD" w:rsidRPr="00BB09C7">
        <w:rPr>
          <w:rFonts w:ascii="Verdana" w:hAnsi="Verdana"/>
          <w:color w:val="FF0000"/>
          <w:lang w:val="en-US"/>
        </w:rPr>
        <w:t>directly linked to the acceptance of risks</w:t>
      </w:r>
      <w:r w:rsidR="002460BD" w:rsidRPr="008620C2">
        <w:rPr>
          <w:rFonts w:ascii="Verdana" w:hAnsi="Verdana"/>
          <w:lang w:val="en-US"/>
        </w:rPr>
        <w:t xml:space="preserve"> </w:t>
      </w:r>
      <w:r w:rsidRPr="008620C2">
        <w:rPr>
          <w:rFonts w:ascii="Verdana" w:hAnsi="Verdana"/>
          <w:lang w:val="en-US"/>
        </w:rPr>
        <w:t xml:space="preserve">captured in </w:t>
      </w:r>
      <w:r w:rsidRPr="00BB09C7">
        <w:rPr>
          <w:rFonts w:ascii="Verdana" w:hAnsi="Verdana"/>
          <w:color w:val="FF0000"/>
          <w:lang w:val="en-US"/>
        </w:rPr>
        <w:t>R01</w:t>
      </w:r>
      <w:r w:rsidR="004B3948" w:rsidRPr="00BB09C7">
        <w:rPr>
          <w:rFonts w:ascii="Verdana" w:hAnsi="Verdana"/>
          <w:color w:val="FF0000"/>
          <w:lang w:val="en-US"/>
        </w:rPr>
        <w:t>9</w:t>
      </w:r>
      <w:r w:rsidRPr="00BB09C7">
        <w:rPr>
          <w:rFonts w:ascii="Verdana" w:hAnsi="Verdana"/>
          <w:color w:val="FF0000"/>
          <w:lang w:val="en-US"/>
        </w:rPr>
        <w:t>0</w:t>
      </w:r>
      <w:r w:rsidRPr="008620C2">
        <w:rPr>
          <w:rFonts w:ascii="Verdana" w:hAnsi="Verdana"/>
          <w:lang w:val="en-US"/>
        </w:rPr>
        <w:t xml:space="preserve"> up to </w:t>
      </w:r>
      <w:r w:rsidRPr="00BB09C7">
        <w:rPr>
          <w:rFonts w:ascii="Verdana" w:hAnsi="Verdana"/>
          <w:color w:val="FF0000"/>
          <w:lang w:val="en-US"/>
        </w:rPr>
        <w:t>R02</w:t>
      </w:r>
      <w:r w:rsidR="00312944" w:rsidRPr="00BB09C7">
        <w:rPr>
          <w:rFonts w:ascii="Verdana" w:hAnsi="Verdana"/>
          <w:color w:val="FF0000"/>
          <w:lang w:val="en-US"/>
        </w:rPr>
        <w:t>5</w:t>
      </w:r>
      <w:r w:rsidRPr="00BB09C7">
        <w:rPr>
          <w:rFonts w:ascii="Verdana" w:hAnsi="Verdana"/>
          <w:color w:val="FF0000"/>
          <w:lang w:val="en-US"/>
        </w:rPr>
        <w:t>0</w:t>
      </w:r>
      <w:r w:rsidRPr="008620C2">
        <w:rPr>
          <w:rFonts w:ascii="Verdana" w:hAnsi="Verdana"/>
          <w:lang w:val="en-US"/>
        </w:rPr>
        <w:t xml:space="preserve"> in the S.29.03</w:t>
      </w:r>
      <w:r w:rsidR="008E7D68" w:rsidRPr="008620C2">
        <w:rPr>
          <w:rFonts w:ascii="Verdana" w:hAnsi="Verdana"/>
          <w:lang w:val="en-US"/>
        </w:rPr>
        <w:t>, i.e. 16.6, but split by periods</w:t>
      </w:r>
      <w:r w:rsidRPr="008620C2">
        <w:rPr>
          <w:rFonts w:ascii="Verdana" w:hAnsi="Verdana"/>
          <w:lang w:val="en-US"/>
        </w:rPr>
        <w:t xml:space="preserve"> (of course only if the anaylsis in S.29.03 is performed on the LOB basis).</w:t>
      </w:r>
    </w:p>
    <w:p w:rsidR="00F21300" w:rsidRPr="007853BA" w:rsidRDefault="00F21300" w:rsidP="007853BA">
      <w:pPr>
        <w:jc w:val="both"/>
        <w:rPr>
          <w:rFonts w:ascii="Verdana" w:hAnsi="Verdana"/>
          <w:lang w:val="en-US"/>
        </w:rPr>
      </w:pPr>
      <w:r w:rsidRPr="007853BA">
        <w:rPr>
          <w:rFonts w:ascii="Verdana" w:hAnsi="Verdana"/>
          <w:lang w:val="en-US"/>
        </w:rPr>
        <w:t xml:space="preserve">R0140: </w:t>
      </w:r>
      <w:r w:rsidRPr="008620C2">
        <w:rPr>
          <w:rFonts w:ascii="Verdana" w:hAnsi="Verdana"/>
          <w:lang w:val="en-US"/>
        </w:rPr>
        <w:t xml:space="preserve">Note that the amount reported in S.29.03/R0360 and </w:t>
      </w:r>
      <w:r w:rsidR="002F73C1">
        <w:rPr>
          <w:rFonts w:ascii="Verdana" w:hAnsi="Verdana"/>
          <w:lang w:val="en-US"/>
        </w:rPr>
        <w:t xml:space="preserve">the sum of the amounts reported in </w:t>
      </w:r>
      <w:r w:rsidRPr="008620C2">
        <w:rPr>
          <w:rFonts w:ascii="Verdana" w:hAnsi="Verdana"/>
          <w:lang w:val="en-US"/>
        </w:rPr>
        <w:t>S.29.04/R0140</w:t>
      </w:r>
      <w:r w:rsidR="002F73C1">
        <w:rPr>
          <w:rFonts w:ascii="Verdana" w:hAnsi="Verdana"/>
          <w:lang w:val="en-US"/>
        </w:rPr>
        <w:t xml:space="preserve"> (R0140/C0030</w:t>
      </w:r>
      <w:r w:rsidR="00710442">
        <w:rPr>
          <w:rFonts w:ascii="Verdana" w:hAnsi="Verdana"/>
          <w:lang w:val="en-US"/>
        </w:rPr>
        <w:t xml:space="preserve"> </w:t>
      </w:r>
      <w:r w:rsidR="002F73C1">
        <w:rPr>
          <w:rFonts w:ascii="Verdana" w:hAnsi="Verdana"/>
          <w:lang w:val="en-US"/>
        </w:rPr>
        <w:t>+</w:t>
      </w:r>
      <w:r w:rsidR="00710442">
        <w:rPr>
          <w:rFonts w:ascii="Verdana" w:hAnsi="Verdana"/>
          <w:lang w:val="en-US"/>
        </w:rPr>
        <w:t xml:space="preserve"> </w:t>
      </w:r>
      <w:r w:rsidR="002F73C1">
        <w:rPr>
          <w:rFonts w:ascii="Verdana" w:hAnsi="Verdana"/>
          <w:lang w:val="en-US"/>
        </w:rPr>
        <w:t>R0140/C0040</w:t>
      </w:r>
      <w:r w:rsidR="00710442">
        <w:rPr>
          <w:rFonts w:ascii="Verdana" w:hAnsi="Verdana"/>
          <w:lang w:val="en-US"/>
        </w:rPr>
        <w:t xml:space="preserve"> </w:t>
      </w:r>
      <w:r w:rsidR="002F73C1">
        <w:rPr>
          <w:rFonts w:ascii="Verdana" w:hAnsi="Verdana"/>
          <w:lang w:val="en-US"/>
        </w:rPr>
        <w:t>+</w:t>
      </w:r>
      <w:r w:rsidR="00710442">
        <w:rPr>
          <w:rFonts w:ascii="Verdana" w:hAnsi="Verdana"/>
          <w:lang w:val="en-US"/>
        </w:rPr>
        <w:t xml:space="preserve"> </w:t>
      </w:r>
      <w:r w:rsidR="002F73C1">
        <w:rPr>
          <w:rFonts w:ascii="Verdana" w:hAnsi="Verdana"/>
          <w:lang w:val="en-US"/>
        </w:rPr>
        <w:t>R0140/C0050)</w:t>
      </w:r>
      <w:r w:rsidRPr="008620C2">
        <w:rPr>
          <w:rFonts w:ascii="Verdana" w:hAnsi="Verdana"/>
          <w:lang w:val="en-US"/>
        </w:rPr>
        <w:t xml:space="preserve"> should </w:t>
      </w:r>
      <w:r w:rsidRPr="00EA393A">
        <w:rPr>
          <w:rFonts w:ascii="Verdana" w:hAnsi="Verdana"/>
          <w:lang w:val="en-US"/>
        </w:rPr>
        <w:t xml:space="preserve">be the same with </w:t>
      </w:r>
      <w:r w:rsidR="00EA393A">
        <w:rPr>
          <w:rFonts w:ascii="Verdana" w:hAnsi="Verdana"/>
          <w:lang w:val="en-US"/>
        </w:rPr>
        <w:t>same</w:t>
      </w:r>
      <w:r w:rsidRPr="00EA393A">
        <w:rPr>
          <w:rFonts w:ascii="Verdana" w:hAnsi="Verdana"/>
          <w:lang w:val="en-US"/>
        </w:rPr>
        <w:t xml:space="preserve"> signs</w:t>
      </w:r>
      <w:r w:rsidRPr="008620C2">
        <w:rPr>
          <w:rFonts w:ascii="Verdana" w:hAnsi="Verdana"/>
          <w:lang w:val="en-US"/>
        </w:rPr>
        <w:t xml:space="preserve"> (this can only hold if either analysis is performed on a segment/LOB basis and if there are no unexplained changes in R0260 in S.29.03).</w:t>
      </w:r>
      <w:r w:rsidR="008E7D68" w:rsidRPr="008620C2">
        <w:rPr>
          <w:rFonts w:ascii="Verdana" w:hAnsi="Verdana"/>
          <w:lang w:val="en-US"/>
        </w:rPr>
        <w:t xml:space="preserve"> </w:t>
      </w:r>
    </w:p>
    <w:p w:rsidR="00F21300" w:rsidRDefault="00F21300">
      <w:pPr>
        <w:rPr>
          <w:rFonts w:ascii="Verdana" w:eastAsiaTheme="majorEastAsia" w:hAnsi="Verdana" w:cstheme="majorBidi"/>
          <w:b/>
          <w:bCs/>
          <w:color w:val="365F91" w:themeColor="accent1" w:themeShade="BF"/>
          <w:lang w:val="en-US"/>
        </w:rPr>
      </w:pPr>
      <w:r>
        <w:rPr>
          <w:rFonts w:ascii="Verdana" w:eastAsiaTheme="majorEastAsia" w:hAnsi="Verdana" w:cstheme="majorBidi"/>
          <w:b/>
          <w:bCs/>
          <w:color w:val="365F91" w:themeColor="accent1" w:themeShade="BF"/>
          <w:lang w:val="en-US"/>
        </w:rPr>
        <w:br w:type="page"/>
      </w:r>
    </w:p>
    <w:p w:rsidR="00D26C11" w:rsidRPr="007853BA" w:rsidRDefault="00D26C11" w:rsidP="00D26C11">
      <w:pPr>
        <w:pStyle w:val="Heading1"/>
        <w:rPr>
          <w:rFonts w:ascii="Verdana" w:hAnsi="Verdana"/>
          <w:sz w:val="22"/>
          <w:lang w:val="en-US"/>
        </w:rPr>
      </w:pPr>
      <w:r w:rsidRPr="007853BA">
        <w:rPr>
          <w:rFonts w:ascii="Verdana" w:hAnsi="Verdana"/>
          <w:sz w:val="22"/>
          <w:lang w:val="en-US"/>
        </w:rPr>
        <w:t>Case 2</w:t>
      </w:r>
      <w:r w:rsidR="006B7174" w:rsidRPr="008620C2">
        <w:rPr>
          <w:rFonts w:ascii="Verdana" w:hAnsi="Verdana"/>
          <w:sz w:val="22"/>
          <w:lang w:val="en-US"/>
        </w:rPr>
        <w:t>A</w:t>
      </w:r>
      <w:r w:rsidRPr="008620C2">
        <w:rPr>
          <w:rFonts w:ascii="Verdana" w:hAnsi="Verdana"/>
          <w:sz w:val="22"/>
          <w:lang w:val="en-US"/>
        </w:rPr>
        <w:t>: Claim provision (case reserve) turns into annuity – 1 contract</w:t>
      </w:r>
    </w:p>
    <w:p w:rsidR="00A25881" w:rsidRDefault="00A25881">
      <w:r w:rsidRPr="00A25881">
        <w:rPr>
          <w:noProof/>
          <w:lang w:val="en-GB" w:eastAsia="en-GB"/>
        </w:rPr>
        <w:drawing>
          <wp:inline distT="0" distB="0" distL="0" distR="0" wp14:anchorId="5A4B5F64" wp14:editId="010C99A6">
            <wp:extent cx="5131435" cy="443865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131435" cy="4438650"/>
                    </a:xfrm>
                    <a:prstGeom prst="rect">
                      <a:avLst/>
                    </a:prstGeom>
                    <a:noFill/>
                    <a:ln>
                      <a:noFill/>
                    </a:ln>
                  </pic:spPr>
                </pic:pic>
              </a:graphicData>
            </a:graphic>
          </wp:inline>
        </w:drawing>
      </w:r>
    </w:p>
    <w:p w:rsidR="00A25881" w:rsidRPr="00393BBA" w:rsidRDefault="00A25881">
      <w:pPr>
        <w:rPr>
          <w:lang w:val="en-GB"/>
        </w:rPr>
      </w:pPr>
      <w:r w:rsidRPr="00A25881">
        <w:rPr>
          <w:noProof/>
          <w:lang w:val="en-GB" w:eastAsia="en-GB"/>
        </w:rPr>
        <w:drawing>
          <wp:inline distT="0" distB="0" distL="0" distR="0" wp14:anchorId="592BA06D" wp14:editId="30DB6CFC">
            <wp:extent cx="4732934" cy="8814816"/>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33">
                      <a:extLst>
                        <a:ext uri="{28A0092B-C50C-407E-A947-70E740481C1C}">
                          <a14:useLocalDpi xmlns:a14="http://schemas.microsoft.com/office/drawing/2010/main" val="0"/>
                        </a:ext>
                      </a:extLst>
                    </a:blip>
                    <a:srcRect b="660"/>
                    <a:stretch/>
                  </pic:blipFill>
                  <pic:spPr bwMode="auto">
                    <a:xfrm>
                      <a:off x="0" y="0"/>
                      <a:ext cx="4740216" cy="8828378"/>
                    </a:xfrm>
                    <a:prstGeom prst="rect">
                      <a:avLst/>
                    </a:prstGeom>
                    <a:noFill/>
                    <a:ln>
                      <a:noFill/>
                    </a:ln>
                    <a:extLst>
                      <a:ext uri="{53640926-AAD7-44D8-BBD7-CCE9431645EC}">
                        <a14:shadowObscured xmlns:a14="http://schemas.microsoft.com/office/drawing/2010/main"/>
                      </a:ext>
                    </a:extLst>
                  </pic:spPr>
                </pic:pic>
              </a:graphicData>
            </a:graphic>
          </wp:inline>
        </w:drawing>
      </w:r>
      <w:r w:rsidR="004439C5" w:rsidRPr="00393BBA">
        <w:rPr>
          <w:lang w:val="en-GB"/>
        </w:rPr>
        <w:t xml:space="preserve"> </w:t>
      </w:r>
    </w:p>
    <w:p w:rsidR="00A25881" w:rsidRPr="007853BA" w:rsidRDefault="00A25881" w:rsidP="00A25881">
      <w:pPr>
        <w:rPr>
          <w:rFonts w:ascii="Verdana" w:hAnsi="Verdana"/>
          <w:lang w:val="en-US"/>
        </w:rPr>
      </w:pPr>
      <w:r w:rsidRPr="007853BA">
        <w:rPr>
          <w:rFonts w:ascii="Verdana" w:hAnsi="Verdana"/>
          <w:lang w:val="en-US"/>
        </w:rPr>
        <w:t>Notes/explanations:</w:t>
      </w:r>
    </w:p>
    <w:p w:rsidR="00A25881" w:rsidRPr="007853BA" w:rsidRDefault="00A25881" w:rsidP="00A25881">
      <w:pPr>
        <w:rPr>
          <w:rFonts w:ascii="Verdana" w:hAnsi="Verdana"/>
          <w:b/>
          <w:lang w:val="en-US"/>
        </w:rPr>
      </w:pPr>
      <w:r w:rsidRPr="007853BA">
        <w:rPr>
          <w:rFonts w:ascii="Verdana" w:hAnsi="Verdana"/>
          <w:b/>
          <w:lang w:val="en-US"/>
        </w:rPr>
        <w:t>S.29.03</w:t>
      </w:r>
    </w:p>
    <w:p w:rsidR="00A25881" w:rsidRPr="007853BA" w:rsidRDefault="00A25881" w:rsidP="00A25881">
      <w:pPr>
        <w:rPr>
          <w:rFonts w:ascii="Verdana" w:hAnsi="Verdana"/>
          <w:lang w:val="en-US"/>
        </w:rPr>
      </w:pPr>
      <w:r w:rsidRPr="007853BA">
        <w:rPr>
          <w:rFonts w:ascii="Verdana" w:hAnsi="Verdana"/>
          <w:lang w:val="en-US"/>
        </w:rPr>
        <w:t>R0170: calculation of the annuity, reduction of the entire NL opening best estimate and recognition in Life of the re-calculated best estimate</w:t>
      </w:r>
    </w:p>
    <w:p w:rsidR="00A25881" w:rsidRPr="007853BA" w:rsidRDefault="00A25881" w:rsidP="00A25881">
      <w:pPr>
        <w:rPr>
          <w:rFonts w:ascii="Verdana" w:hAnsi="Verdana"/>
          <w:lang w:val="en-US"/>
        </w:rPr>
      </w:pPr>
      <w:r w:rsidRPr="007853BA">
        <w:rPr>
          <w:rFonts w:ascii="Verdana" w:hAnsi="Verdana"/>
          <w:lang w:val="en-US"/>
        </w:rPr>
        <w:t xml:space="preserve">R0220: minus the payment of the annuity made in the reporting year  </w:t>
      </w:r>
    </w:p>
    <w:p w:rsidR="00A25881" w:rsidRPr="007853BA" w:rsidRDefault="007E134A" w:rsidP="00A25881">
      <w:pPr>
        <w:jc w:val="both"/>
        <w:rPr>
          <w:rFonts w:ascii="Verdana" w:hAnsi="Verdana"/>
          <w:lang w:val="en-US"/>
        </w:rPr>
      </w:pPr>
      <w:r w:rsidRPr="007853BA">
        <w:rPr>
          <w:rFonts w:ascii="Verdana" w:hAnsi="Verdana"/>
          <w:lang w:val="en-US"/>
        </w:rPr>
        <w:t>R034</w:t>
      </w:r>
      <w:r w:rsidR="00A25881" w:rsidRPr="008620C2">
        <w:rPr>
          <w:rFonts w:ascii="Verdana" w:hAnsi="Verdana"/>
          <w:lang w:val="en-US"/>
        </w:rPr>
        <w:t xml:space="preserve">0: </w:t>
      </w:r>
      <w:r w:rsidRPr="008620C2">
        <w:rPr>
          <w:rFonts w:ascii="Verdana" w:hAnsi="Verdana"/>
          <w:lang w:val="en-US"/>
        </w:rPr>
        <w:t xml:space="preserve">the only technical flow to be identified is the payment of the annuity made in the reporting year </w:t>
      </w:r>
      <w:r w:rsidR="00B14820">
        <w:rPr>
          <w:rFonts w:ascii="Verdana" w:hAnsi="Verdana"/>
          <w:lang w:val="en-US"/>
        </w:rPr>
        <w:tab/>
      </w:r>
      <w:r w:rsidR="00B14820">
        <w:rPr>
          <w:rFonts w:ascii="Verdana" w:hAnsi="Verdana"/>
          <w:lang w:val="en-US"/>
        </w:rPr>
        <w:tab/>
      </w:r>
    </w:p>
    <w:p w:rsidR="00A25881" w:rsidRPr="007853BA" w:rsidRDefault="00A25881" w:rsidP="00A25881">
      <w:pPr>
        <w:jc w:val="both"/>
        <w:rPr>
          <w:rFonts w:ascii="Verdana" w:hAnsi="Verdana"/>
          <w:lang w:val="en-US"/>
        </w:rPr>
      </w:pPr>
      <w:r w:rsidRPr="007853BA">
        <w:rPr>
          <w:rFonts w:ascii="Verdana" w:hAnsi="Verdana"/>
          <w:lang w:val="en-US"/>
        </w:rPr>
        <w:t xml:space="preserve">R0360: Reflects the </w:t>
      </w:r>
      <w:r w:rsidR="00B14820" w:rsidRPr="008620C2">
        <w:rPr>
          <w:rFonts w:ascii="Verdana" w:hAnsi="Verdana"/>
          <w:lang w:val="en-US"/>
        </w:rPr>
        <w:t xml:space="preserve">total </w:t>
      </w:r>
      <w:r w:rsidRPr="008620C2">
        <w:rPr>
          <w:rFonts w:ascii="Verdana" w:hAnsi="Verdana"/>
          <w:lang w:val="en-US"/>
        </w:rPr>
        <w:t xml:space="preserve">impact in the EoAoL, i.e. </w:t>
      </w:r>
      <w:r w:rsidR="00B14820" w:rsidRPr="008620C2">
        <w:rPr>
          <w:rFonts w:ascii="Verdana" w:hAnsi="Verdana"/>
          <w:lang w:val="en-US"/>
        </w:rPr>
        <w:t>elimination of the NL best estimat</w:t>
      </w:r>
      <w:r w:rsidR="003D4733" w:rsidRPr="008620C2">
        <w:rPr>
          <w:rFonts w:ascii="Verdana" w:hAnsi="Verdana"/>
          <w:lang w:val="en-US"/>
        </w:rPr>
        <w:t>e and rec</w:t>
      </w:r>
      <w:r w:rsidR="00B14820" w:rsidRPr="008620C2">
        <w:rPr>
          <w:rFonts w:ascii="Verdana" w:hAnsi="Verdana"/>
          <w:lang w:val="en-US"/>
        </w:rPr>
        <w:t>o</w:t>
      </w:r>
      <w:r w:rsidR="003D4733" w:rsidRPr="008620C2">
        <w:rPr>
          <w:rFonts w:ascii="Verdana" w:hAnsi="Verdana"/>
          <w:lang w:val="en-US"/>
        </w:rPr>
        <w:t>g</w:t>
      </w:r>
      <w:r w:rsidR="00B14820" w:rsidRPr="008620C2">
        <w:rPr>
          <w:rFonts w:ascii="Verdana" w:hAnsi="Verdana"/>
          <w:lang w:val="en-US"/>
        </w:rPr>
        <w:t xml:space="preserve">nition of the annuity. The technical flow is </w:t>
      </w:r>
      <w:r w:rsidR="00584A53" w:rsidRPr="008620C2">
        <w:rPr>
          <w:rFonts w:ascii="Verdana" w:hAnsi="Verdana"/>
          <w:lang w:val="en-US"/>
        </w:rPr>
        <w:t>recogni</w:t>
      </w:r>
      <w:r w:rsidR="00584A53">
        <w:rPr>
          <w:rFonts w:ascii="Verdana" w:hAnsi="Verdana"/>
          <w:lang w:val="en-US"/>
        </w:rPr>
        <w:t>s</w:t>
      </w:r>
      <w:r w:rsidR="00584A53" w:rsidRPr="008620C2">
        <w:rPr>
          <w:rFonts w:ascii="Verdana" w:hAnsi="Verdana"/>
          <w:lang w:val="en-US"/>
        </w:rPr>
        <w:t xml:space="preserve">ed </w:t>
      </w:r>
      <w:r w:rsidR="00B14820" w:rsidRPr="008620C2">
        <w:rPr>
          <w:rFonts w:ascii="Verdana" w:hAnsi="Verdana"/>
          <w:lang w:val="en-US"/>
        </w:rPr>
        <w:t>but netted with the variation of the Life technical provision (</w:t>
      </w:r>
      <w:r w:rsidR="00C6563C" w:rsidRPr="008620C2">
        <w:rPr>
          <w:rFonts w:ascii="Verdana" w:hAnsi="Verdana"/>
          <w:lang w:val="en-US"/>
        </w:rPr>
        <w:t>the pay</w:t>
      </w:r>
      <w:r w:rsidR="00B14820" w:rsidRPr="008620C2">
        <w:rPr>
          <w:rFonts w:ascii="Verdana" w:hAnsi="Verdana"/>
          <w:lang w:val="en-US"/>
        </w:rPr>
        <w:t xml:space="preserve">ment as foreseen should not impact the EoAoL) </w:t>
      </w:r>
    </w:p>
    <w:p w:rsidR="00F62D6E" w:rsidRDefault="009C74B8" w:rsidP="00F32257">
      <w:pPr>
        <w:rPr>
          <w:rFonts w:ascii="Verdana" w:hAnsi="Verdana"/>
          <w:lang w:val="en-US"/>
        </w:rPr>
      </w:pPr>
      <w:r w:rsidRPr="009C74B8">
        <w:rPr>
          <w:rFonts w:ascii="Verdana" w:hAnsi="Verdana"/>
          <w:lang w:val="en-US"/>
        </w:rPr>
        <w:t xml:space="preserve"> </w:t>
      </w:r>
      <w:r w:rsidR="007914AB" w:rsidRPr="007914AB">
        <w:rPr>
          <w:rFonts w:ascii="Verdana" w:hAnsi="Verdana"/>
          <w:lang w:val="en-US"/>
        </w:rPr>
        <w:t xml:space="preserve"> </w:t>
      </w:r>
      <w:r w:rsidR="007914AB" w:rsidRPr="007914AB">
        <w:rPr>
          <w:noProof/>
          <w:lang w:val="en-GB" w:eastAsia="en-GB"/>
        </w:rPr>
        <w:drawing>
          <wp:inline distT="0" distB="0" distL="0" distR="0" wp14:anchorId="632DAB89" wp14:editId="3A6A636D">
            <wp:extent cx="5520605" cy="4542740"/>
            <wp:effectExtent l="0" t="0" r="444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524113" cy="4545626"/>
                    </a:xfrm>
                    <a:prstGeom prst="rect">
                      <a:avLst/>
                    </a:prstGeom>
                    <a:noFill/>
                    <a:ln>
                      <a:noFill/>
                    </a:ln>
                  </pic:spPr>
                </pic:pic>
              </a:graphicData>
            </a:graphic>
          </wp:inline>
        </w:drawing>
      </w:r>
    </w:p>
    <w:p w:rsidR="00F32257" w:rsidRPr="007853BA" w:rsidRDefault="00F32257" w:rsidP="00F32257">
      <w:pPr>
        <w:rPr>
          <w:rFonts w:ascii="Verdana" w:hAnsi="Verdana"/>
          <w:lang w:val="en-US"/>
        </w:rPr>
      </w:pPr>
      <w:r w:rsidRPr="007853BA">
        <w:rPr>
          <w:rFonts w:ascii="Verdana" w:hAnsi="Verdana"/>
          <w:lang w:val="en-US"/>
        </w:rPr>
        <w:t>Notes/explanations:</w:t>
      </w:r>
    </w:p>
    <w:p w:rsidR="00F32257" w:rsidRPr="007853BA" w:rsidRDefault="00F32257" w:rsidP="00F32257">
      <w:pPr>
        <w:rPr>
          <w:rFonts w:ascii="Verdana" w:hAnsi="Verdana"/>
          <w:b/>
          <w:lang w:val="en-US"/>
        </w:rPr>
      </w:pPr>
      <w:r w:rsidRPr="007853BA">
        <w:rPr>
          <w:rFonts w:ascii="Verdana" w:hAnsi="Verdana"/>
          <w:b/>
          <w:lang w:val="en-US"/>
        </w:rPr>
        <w:t>S.29.04</w:t>
      </w:r>
    </w:p>
    <w:p w:rsidR="00F32257" w:rsidRPr="007853BA" w:rsidRDefault="00F32257" w:rsidP="00F32257">
      <w:pPr>
        <w:jc w:val="both"/>
        <w:rPr>
          <w:rFonts w:ascii="Verdana" w:hAnsi="Verdana"/>
          <w:lang w:val="en-US"/>
        </w:rPr>
      </w:pPr>
      <w:r w:rsidRPr="007853BA">
        <w:rPr>
          <w:rFonts w:ascii="Verdana" w:hAnsi="Verdana"/>
          <w:lang w:val="en-US"/>
        </w:rPr>
        <w:t xml:space="preserve">R0090: reflects the </w:t>
      </w:r>
      <w:r w:rsidR="00584A53">
        <w:rPr>
          <w:rFonts w:ascii="Verdana" w:hAnsi="Verdana"/>
          <w:lang w:val="en-US"/>
        </w:rPr>
        <w:t>payment of the annuity</w:t>
      </w:r>
      <w:r w:rsidRPr="007853BA">
        <w:rPr>
          <w:rFonts w:ascii="Verdana" w:hAnsi="Verdana"/>
          <w:lang w:val="en-US"/>
        </w:rPr>
        <w:t xml:space="preserve"> during the reporting period</w:t>
      </w:r>
    </w:p>
    <w:p w:rsidR="007914AB" w:rsidRDefault="00F32257" w:rsidP="00BB09C7">
      <w:pPr>
        <w:jc w:val="both"/>
        <w:rPr>
          <w:rFonts w:ascii="Verdana" w:hAnsi="Verdana"/>
          <w:lang w:val="en-US"/>
        </w:rPr>
      </w:pPr>
      <w:r w:rsidRPr="007853BA">
        <w:rPr>
          <w:rFonts w:ascii="Verdana" w:hAnsi="Verdana"/>
          <w:lang w:val="en-US"/>
        </w:rPr>
        <w:t xml:space="preserve">R0110: </w:t>
      </w:r>
      <w:r w:rsidRPr="008620C2">
        <w:rPr>
          <w:rFonts w:ascii="Verdana" w:hAnsi="Verdana"/>
          <w:lang w:val="en-US"/>
        </w:rPr>
        <w:t xml:space="preserve">This is the variation effects </w:t>
      </w:r>
      <w:r w:rsidR="007914AB" w:rsidRPr="00BB09C7">
        <w:rPr>
          <w:rFonts w:ascii="Verdana" w:hAnsi="Verdana"/>
          <w:color w:val="FF0000"/>
          <w:lang w:val="en-US"/>
        </w:rPr>
        <w:t xml:space="preserve">directly linked to the acceptance of risks </w:t>
      </w:r>
      <w:r w:rsidR="008A2647" w:rsidRPr="00BB09C7">
        <w:rPr>
          <w:rFonts w:ascii="Verdana" w:hAnsi="Verdana"/>
          <w:color w:val="FF0000"/>
          <w:lang w:val="en-US"/>
        </w:rPr>
        <w:t xml:space="preserve">referring to risks covered prior to the period </w:t>
      </w:r>
      <w:r w:rsidRPr="008620C2">
        <w:rPr>
          <w:rFonts w:ascii="Verdana" w:hAnsi="Verdana"/>
          <w:lang w:val="en-US"/>
        </w:rPr>
        <w:t>captured in R0</w:t>
      </w:r>
      <w:r w:rsidR="006A1BE5" w:rsidRPr="00BB09C7">
        <w:rPr>
          <w:rFonts w:ascii="Verdana" w:hAnsi="Verdana"/>
          <w:color w:val="FF0000"/>
          <w:lang w:val="en-US"/>
        </w:rPr>
        <w:t>2</w:t>
      </w:r>
      <w:r w:rsidRPr="00BB09C7">
        <w:rPr>
          <w:rFonts w:ascii="Verdana" w:hAnsi="Verdana"/>
          <w:color w:val="FF0000"/>
          <w:lang w:val="en-US"/>
        </w:rPr>
        <w:t>10</w:t>
      </w:r>
      <w:r w:rsidRPr="008620C2">
        <w:rPr>
          <w:rFonts w:ascii="Verdana" w:hAnsi="Verdana"/>
          <w:lang w:val="en-US"/>
        </w:rPr>
        <w:t xml:space="preserve"> up to R0</w:t>
      </w:r>
      <w:r w:rsidRPr="00BB09C7">
        <w:rPr>
          <w:rFonts w:ascii="Verdana" w:hAnsi="Verdana"/>
          <w:color w:val="FF0000"/>
          <w:lang w:val="en-US"/>
        </w:rPr>
        <w:t>2</w:t>
      </w:r>
      <w:r w:rsidR="006A1BE5" w:rsidRPr="00BB09C7">
        <w:rPr>
          <w:rFonts w:ascii="Verdana" w:hAnsi="Verdana"/>
          <w:color w:val="FF0000"/>
          <w:lang w:val="en-US"/>
        </w:rPr>
        <w:t>5</w:t>
      </w:r>
      <w:r w:rsidRPr="00BB09C7">
        <w:rPr>
          <w:rFonts w:ascii="Verdana" w:hAnsi="Verdana"/>
          <w:color w:val="FF0000"/>
          <w:lang w:val="en-US"/>
        </w:rPr>
        <w:t>0</w:t>
      </w:r>
      <w:r w:rsidRPr="008620C2">
        <w:rPr>
          <w:rFonts w:ascii="Verdana" w:hAnsi="Verdana"/>
          <w:lang w:val="en-US"/>
        </w:rPr>
        <w:t xml:space="preserve"> in the S.29.03, i.e. </w:t>
      </w:r>
      <w:r w:rsidR="006A1BE5" w:rsidRPr="00BB09C7">
        <w:rPr>
          <w:rFonts w:ascii="Verdana" w:hAnsi="Verdana"/>
          <w:color w:val="FF0000"/>
          <w:lang w:val="en-US"/>
        </w:rPr>
        <w:t>0</w:t>
      </w:r>
      <w:r w:rsidRPr="008620C2">
        <w:rPr>
          <w:rFonts w:ascii="Verdana" w:hAnsi="Verdana"/>
          <w:lang w:val="en-US"/>
        </w:rPr>
        <w:t xml:space="preserve"> for non-life and </w:t>
      </w:r>
      <w:r w:rsidR="006A1BE5" w:rsidRPr="00BB09C7">
        <w:rPr>
          <w:rFonts w:ascii="Verdana" w:hAnsi="Verdana"/>
          <w:color w:val="FF0000"/>
          <w:lang w:val="en-US"/>
        </w:rPr>
        <w:t xml:space="preserve">-8 </w:t>
      </w:r>
      <w:r w:rsidRPr="008620C2">
        <w:rPr>
          <w:rFonts w:ascii="Verdana" w:hAnsi="Verdana"/>
          <w:lang w:val="en-US"/>
        </w:rPr>
        <w:t>for life.</w:t>
      </w:r>
      <w:r w:rsidR="007914AB">
        <w:rPr>
          <w:rFonts w:ascii="Verdana" w:hAnsi="Verdana"/>
          <w:lang w:val="en-US"/>
        </w:rPr>
        <w:t xml:space="preserve"> </w:t>
      </w:r>
      <w:r w:rsidR="007914AB" w:rsidRPr="00BB09C7">
        <w:rPr>
          <w:rFonts w:ascii="Verdana" w:hAnsi="Verdana"/>
          <w:color w:val="FF0000"/>
          <w:lang w:val="en-US"/>
        </w:rPr>
        <w:t xml:space="preserve">Please note para. 1.57 (the variation triggered for example by changes in perimeter or foreign exchange variation should not be reported in S.29.04. This means that this cells do not reflect the total variation of the best estimate.) </w:t>
      </w:r>
    </w:p>
    <w:p w:rsidR="00F32257" w:rsidRPr="007853BA" w:rsidRDefault="00F32257" w:rsidP="007853BA">
      <w:pPr>
        <w:jc w:val="both"/>
        <w:rPr>
          <w:rFonts w:ascii="Verdana" w:hAnsi="Verdana"/>
          <w:lang w:val="en-US"/>
        </w:rPr>
      </w:pPr>
      <w:r w:rsidRPr="007853BA">
        <w:rPr>
          <w:rFonts w:ascii="Verdana" w:hAnsi="Verdana"/>
          <w:lang w:val="en-US"/>
        </w:rPr>
        <w:t xml:space="preserve">R0140: </w:t>
      </w:r>
      <w:r w:rsidRPr="008620C2">
        <w:rPr>
          <w:rFonts w:ascii="Verdana" w:hAnsi="Verdana"/>
          <w:lang w:val="en-US"/>
        </w:rPr>
        <w:t xml:space="preserve">Note that the amount reported in S.29.03/R0360 and S.29.04/R0140 should </w:t>
      </w:r>
      <w:r w:rsidRPr="00EA393A">
        <w:rPr>
          <w:rFonts w:ascii="Verdana" w:hAnsi="Verdana"/>
          <w:lang w:val="en-US"/>
        </w:rPr>
        <w:t xml:space="preserve">be the same with </w:t>
      </w:r>
      <w:r w:rsidR="00EA393A">
        <w:rPr>
          <w:rFonts w:ascii="Verdana" w:hAnsi="Verdana"/>
          <w:lang w:val="en-US"/>
        </w:rPr>
        <w:t xml:space="preserve">same </w:t>
      </w:r>
      <w:r w:rsidRPr="00EA393A">
        <w:rPr>
          <w:rFonts w:ascii="Verdana" w:hAnsi="Verdana"/>
          <w:lang w:val="en-US"/>
        </w:rPr>
        <w:t>signs</w:t>
      </w:r>
      <w:r w:rsidRPr="008620C2">
        <w:rPr>
          <w:rFonts w:ascii="Verdana" w:hAnsi="Verdana"/>
          <w:lang w:val="en-US"/>
        </w:rPr>
        <w:t xml:space="preserve"> (this can only hold if either analysis is performed on a segment/LOB basis and if there are no unexplained changes in R0260 in S.29.03). </w:t>
      </w:r>
    </w:p>
    <w:p w:rsidR="00295491" w:rsidRDefault="00295491">
      <w:pPr>
        <w:rPr>
          <w:rFonts w:ascii="Verdana" w:eastAsiaTheme="majorEastAsia" w:hAnsi="Verdana" w:cstheme="majorBidi"/>
          <w:b/>
          <w:bCs/>
          <w:color w:val="365F91" w:themeColor="accent1" w:themeShade="BF"/>
          <w:lang w:val="en-US"/>
        </w:rPr>
      </w:pPr>
      <w:r>
        <w:rPr>
          <w:rFonts w:ascii="Verdana" w:hAnsi="Verdana"/>
          <w:lang w:val="en-US"/>
        </w:rPr>
        <w:br w:type="page"/>
      </w:r>
    </w:p>
    <w:p w:rsidR="00D26C11" w:rsidRPr="007853BA" w:rsidRDefault="00D26C11" w:rsidP="00D26C11">
      <w:pPr>
        <w:pStyle w:val="Heading1"/>
        <w:rPr>
          <w:rFonts w:ascii="Verdana" w:hAnsi="Verdana"/>
          <w:sz w:val="22"/>
          <w:lang w:val="en-US"/>
        </w:rPr>
      </w:pPr>
      <w:r w:rsidRPr="007853BA">
        <w:rPr>
          <w:rFonts w:ascii="Verdana" w:hAnsi="Verdana"/>
          <w:sz w:val="22"/>
          <w:lang w:val="en-US"/>
        </w:rPr>
        <w:t>Case 2</w:t>
      </w:r>
      <w:r w:rsidR="006B7174" w:rsidRPr="008620C2">
        <w:rPr>
          <w:rFonts w:ascii="Verdana" w:hAnsi="Verdana"/>
          <w:sz w:val="22"/>
          <w:lang w:val="en-US"/>
        </w:rPr>
        <w:t>B</w:t>
      </w:r>
      <w:r w:rsidRPr="008620C2">
        <w:rPr>
          <w:rFonts w:ascii="Verdana" w:hAnsi="Verdana"/>
          <w:sz w:val="22"/>
          <w:lang w:val="en-US"/>
        </w:rPr>
        <w:t>: Claim provision (case reserve) turns into annuity – portfolio</w:t>
      </w:r>
    </w:p>
    <w:p w:rsidR="00D14F12" w:rsidRDefault="008B28AE">
      <w:pPr>
        <w:rPr>
          <w:rFonts w:ascii="Verdana" w:eastAsiaTheme="majorEastAsia" w:hAnsi="Verdana" w:cstheme="majorBidi"/>
          <w:b/>
          <w:bCs/>
          <w:color w:val="365F91" w:themeColor="accent1" w:themeShade="BF"/>
          <w:lang w:val="en-US"/>
        </w:rPr>
      </w:pPr>
      <w:r w:rsidRPr="008B28AE">
        <w:rPr>
          <w:noProof/>
          <w:lang w:val="en-GB" w:eastAsia="en-GB"/>
        </w:rPr>
        <w:drawing>
          <wp:inline distT="0" distB="0" distL="0" distR="0" wp14:anchorId="329FEA2E" wp14:editId="6E8F0A79">
            <wp:extent cx="5236845" cy="3083560"/>
            <wp:effectExtent l="0" t="0" r="1905" b="254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236845" cy="3083560"/>
                    </a:xfrm>
                    <a:prstGeom prst="rect">
                      <a:avLst/>
                    </a:prstGeom>
                    <a:noFill/>
                    <a:ln>
                      <a:noFill/>
                    </a:ln>
                  </pic:spPr>
                </pic:pic>
              </a:graphicData>
            </a:graphic>
          </wp:inline>
        </w:drawing>
      </w:r>
    </w:p>
    <w:p w:rsidR="008B28AE" w:rsidRPr="007853BA" w:rsidRDefault="008B28AE" w:rsidP="008B28AE">
      <w:pPr>
        <w:jc w:val="both"/>
        <w:rPr>
          <w:rFonts w:ascii="Verdana" w:hAnsi="Verdana"/>
          <w:lang w:val="en-US"/>
        </w:rPr>
      </w:pPr>
      <w:r w:rsidRPr="007853BA">
        <w:rPr>
          <w:rFonts w:ascii="Verdana" w:hAnsi="Verdana"/>
          <w:lang w:val="en-US"/>
        </w:rPr>
        <w:t>Triangles with cash-flows and expenses of the opening and closing best es</w:t>
      </w:r>
      <w:r w:rsidRPr="008620C2">
        <w:rPr>
          <w:rFonts w:ascii="Verdana" w:hAnsi="Verdana"/>
          <w:lang w:val="en-US"/>
        </w:rPr>
        <w:t>timate. For the purposes of the template cash-ins do not need to be separated from cash-outs.</w:t>
      </w:r>
    </w:p>
    <w:p w:rsidR="008B28AE" w:rsidRDefault="008B28AE">
      <w:pPr>
        <w:rPr>
          <w:rFonts w:ascii="Verdana" w:eastAsiaTheme="majorEastAsia" w:hAnsi="Verdana" w:cstheme="majorBidi"/>
          <w:b/>
          <w:bCs/>
          <w:color w:val="365F91" w:themeColor="accent1" w:themeShade="BF"/>
          <w:lang w:val="en-US"/>
        </w:rPr>
      </w:pPr>
      <w:r w:rsidRPr="008B28AE">
        <w:rPr>
          <w:noProof/>
          <w:lang w:val="en-GB" w:eastAsia="en-GB"/>
        </w:rPr>
        <w:drawing>
          <wp:inline distT="0" distB="0" distL="0" distR="0" wp14:anchorId="20176150" wp14:editId="796E399A">
            <wp:extent cx="5760720" cy="2866497"/>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760720" cy="2866497"/>
                    </a:xfrm>
                    <a:prstGeom prst="rect">
                      <a:avLst/>
                    </a:prstGeom>
                    <a:noFill/>
                    <a:ln>
                      <a:noFill/>
                    </a:ln>
                  </pic:spPr>
                </pic:pic>
              </a:graphicData>
            </a:graphic>
          </wp:inline>
        </w:drawing>
      </w:r>
    </w:p>
    <w:p w:rsidR="008B28AE" w:rsidRPr="007853BA" w:rsidRDefault="008B28AE" w:rsidP="008B28AE">
      <w:pPr>
        <w:rPr>
          <w:rFonts w:ascii="Verdana" w:hAnsi="Verdana"/>
          <w:lang w:val="en-US"/>
        </w:rPr>
      </w:pPr>
      <w:r w:rsidRPr="007853BA">
        <w:rPr>
          <w:rFonts w:ascii="Verdana" w:hAnsi="Verdana"/>
          <w:lang w:val="en-US"/>
        </w:rPr>
        <w:t>Technical flows:</w:t>
      </w:r>
    </w:p>
    <w:p w:rsidR="008B28AE" w:rsidRDefault="008B28AE">
      <w:pPr>
        <w:rPr>
          <w:rFonts w:ascii="Verdana" w:eastAsiaTheme="majorEastAsia" w:hAnsi="Verdana" w:cstheme="majorBidi"/>
          <w:b/>
          <w:bCs/>
          <w:color w:val="365F91" w:themeColor="accent1" w:themeShade="BF"/>
          <w:lang w:val="en-US"/>
        </w:rPr>
      </w:pPr>
      <w:r w:rsidRPr="008B28AE">
        <w:rPr>
          <w:noProof/>
          <w:lang w:val="en-GB" w:eastAsia="en-GB"/>
        </w:rPr>
        <w:drawing>
          <wp:inline distT="0" distB="0" distL="0" distR="0" wp14:anchorId="62980EF9" wp14:editId="78422D67">
            <wp:extent cx="2670140" cy="436796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670183" cy="4368031"/>
                    </a:xfrm>
                    <a:prstGeom prst="rect">
                      <a:avLst/>
                    </a:prstGeom>
                    <a:noFill/>
                    <a:ln>
                      <a:noFill/>
                    </a:ln>
                  </pic:spPr>
                </pic:pic>
              </a:graphicData>
            </a:graphic>
          </wp:inline>
        </w:drawing>
      </w:r>
    </w:p>
    <w:p w:rsidR="008B28AE" w:rsidRDefault="00EB1BDE">
      <w:pPr>
        <w:rPr>
          <w:rFonts w:ascii="Verdana" w:eastAsiaTheme="majorEastAsia" w:hAnsi="Verdana" w:cstheme="majorBidi"/>
          <w:b/>
          <w:bCs/>
          <w:color w:val="365F91" w:themeColor="accent1" w:themeShade="BF"/>
          <w:lang w:val="en-US"/>
        </w:rPr>
      </w:pPr>
      <w:r w:rsidRPr="00EB1BDE">
        <w:rPr>
          <w:rFonts w:ascii="Verdana" w:eastAsiaTheme="majorEastAsia" w:hAnsi="Verdana" w:cstheme="majorBidi"/>
          <w:b/>
          <w:bCs/>
          <w:color w:val="365F91" w:themeColor="accent1" w:themeShade="BF"/>
          <w:lang w:val="en-US"/>
        </w:rPr>
        <w:t xml:space="preserve"> </w:t>
      </w:r>
      <w:r w:rsidRPr="00EB1BDE">
        <w:rPr>
          <w:noProof/>
          <w:lang w:val="en-GB" w:eastAsia="en-GB"/>
        </w:rPr>
        <w:drawing>
          <wp:inline distT="0" distB="0" distL="0" distR="0" wp14:anchorId="63684546" wp14:editId="4C4CC292">
            <wp:extent cx="5760720" cy="5640176"/>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760720" cy="5640176"/>
                    </a:xfrm>
                    <a:prstGeom prst="rect">
                      <a:avLst/>
                    </a:prstGeom>
                    <a:noFill/>
                    <a:ln>
                      <a:noFill/>
                    </a:ln>
                  </pic:spPr>
                </pic:pic>
              </a:graphicData>
            </a:graphic>
          </wp:inline>
        </w:drawing>
      </w:r>
    </w:p>
    <w:p w:rsidR="003227BE" w:rsidRPr="007853BA" w:rsidRDefault="003227BE" w:rsidP="003227BE">
      <w:pPr>
        <w:rPr>
          <w:rFonts w:ascii="Verdana" w:hAnsi="Verdana"/>
          <w:lang w:val="en-US"/>
        </w:rPr>
      </w:pPr>
      <w:r w:rsidRPr="007853BA">
        <w:rPr>
          <w:rFonts w:ascii="Verdana" w:hAnsi="Verdana"/>
          <w:lang w:val="en-US"/>
        </w:rPr>
        <w:t>Notes/explanations:</w:t>
      </w:r>
    </w:p>
    <w:p w:rsidR="003227BE" w:rsidRPr="007853BA" w:rsidRDefault="003227BE" w:rsidP="003227BE">
      <w:pPr>
        <w:rPr>
          <w:rFonts w:ascii="Verdana" w:hAnsi="Verdana"/>
          <w:b/>
          <w:lang w:val="en-US"/>
        </w:rPr>
      </w:pPr>
      <w:r w:rsidRPr="007853BA">
        <w:rPr>
          <w:rFonts w:ascii="Verdana" w:hAnsi="Verdana"/>
          <w:b/>
          <w:lang w:val="en-US"/>
        </w:rPr>
        <w:t>S.29.03</w:t>
      </w:r>
    </w:p>
    <w:p w:rsidR="003227BE" w:rsidRPr="007853BA" w:rsidRDefault="003227BE" w:rsidP="003227BE">
      <w:pPr>
        <w:jc w:val="both"/>
        <w:rPr>
          <w:rFonts w:ascii="Verdana" w:hAnsi="Verdana"/>
          <w:lang w:val="en-US"/>
        </w:rPr>
      </w:pPr>
      <w:r w:rsidRPr="007853BA">
        <w:rPr>
          <w:rFonts w:ascii="Verdana" w:hAnsi="Verdana"/>
          <w:lang w:val="en-US"/>
        </w:rPr>
        <w:t>R0150: opening best estimate is the sum of the 3 triangles above (cash-in, cash-out and expenses</w:t>
      </w:r>
    </w:p>
    <w:p w:rsidR="003227BE" w:rsidRPr="007853BA" w:rsidRDefault="003227BE" w:rsidP="003227BE">
      <w:pPr>
        <w:jc w:val="both"/>
        <w:rPr>
          <w:rFonts w:ascii="Verdana" w:hAnsi="Verdana"/>
          <w:lang w:val="en-US"/>
        </w:rPr>
      </w:pPr>
      <w:r w:rsidRPr="007853BA">
        <w:rPr>
          <w:rFonts w:ascii="Verdana" w:hAnsi="Verdana"/>
          <w:lang w:val="en-US"/>
        </w:rPr>
        <w:t xml:space="preserve">R0170: </w:t>
      </w:r>
      <w:r w:rsidRPr="008620C2">
        <w:rPr>
          <w:rFonts w:ascii="Verdana" w:hAnsi="Verdana"/>
          <w:lang w:val="en-US"/>
        </w:rPr>
        <w:t>calculation of the annuity, reduction of the NL opening best estimate reflecting the amount associated to the claim</w:t>
      </w:r>
      <w:r w:rsidR="00EA1FC5" w:rsidRPr="008620C2">
        <w:rPr>
          <w:rFonts w:ascii="Verdana" w:hAnsi="Verdana"/>
          <w:lang w:val="en-US"/>
        </w:rPr>
        <w:t xml:space="preserve"> and recognition in Life of the re-calculated best estimate</w:t>
      </w:r>
      <w:r w:rsidRPr="008620C2">
        <w:rPr>
          <w:rFonts w:ascii="Verdana" w:hAnsi="Verdana"/>
          <w:lang w:val="en-US"/>
        </w:rPr>
        <w:t>. In this case we are assuming it is the same as the re-calculation for the Life annuity but could be also lower or higher</w:t>
      </w:r>
    </w:p>
    <w:p w:rsidR="003227BE" w:rsidRPr="007853BA" w:rsidRDefault="003227BE" w:rsidP="003227BE">
      <w:pPr>
        <w:jc w:val="both"/>
        <w:rPr>
          <w:rFonts w:ascii="Verdana" w:hAnsi="Verdana"/>
          <w:lang w:val="en-US"/>
        </w:rPr>
      </w:pPr>
      <w:r w:rsidRPr="007853BA">
        <w:rPr>
          <w:rFonts w:ascii="Verdana" w:hAnsi="Verdana"/>
          <w:lang w:val="en-US"/>
        </w:rPr>
        <w:t xml:space="preserve">R0190: risk covered after the period is the difference between closing best estimate and opening best estimate, rows corresponding to years after the period (in this case 2017 and 2018) </w:t>
      </w:r>
    </w:p>
    <w:p w:rsidR="003227BE" w:rsidRPr="007853BA" w:rsidRDefault="003227BE" w:rsidP="003227BE">
      <w:pPr>
        <w:jc w:val="both"/>
        <w:rPr>
          <w:rFonts w:ascii="Verdana" w:hAnsi="Verdana"/>
          <w:lang w:val="en-US"/>
        </w:rPr>
      </w:pPr>
      <w:r w:rsidRPr="007853BA">
        <w:rPr>
          <w:rFonts w:ascii="Verdana" w:hAnsi="Verdana"/>
          <w:lang w:val="en-US"/>
        </w:rPr>
        <w:t>R0200: risk covered during t</w:t>
      </w:r>
      <w:r w:rsidRPr="008620C2">
        <w:rPr>
          <w:rFonts w:ascii="Verdana" w:hAnsi="Verdana"/>
          <w:lang w:val="en-US"/>
        </w:rPr>
        <w:t>he period is the difference between closing best estimate and opening best estimate, row corresponding to the reporting year (in this case 2016)</w:t>
      </w:r>
    </w:p>
    <w:p w:rsidR="003227BE" w:rsidRPr="007853BA" w:rsidRDefault="003227BE" w:rsidP="00582920">
      <w:pPr>
        <w:jc w:val="both"/>
        <w:rPr>
          <w:rFonts w:ascii="Verdana" w:hAnsi="Verdana"/>
          <w:lang w:val="en-US"/>
        </w:rPr>
      </w:pPr>
      <w:r w:rsidRPr="007853BA">
        <w:rPr>
          <w:rFonts w:ascii="Verdana" w:hAnsi="Verdana"/>
          <w:lang w:val="en-US"/>
        </w:rPr>
        <w:t xml:space="preserve">R0220: </w:t>
      </w:r>
      <w:r w:rsidRPr="008620C2">
        <w:rPr>
          <w:rFonts w:ascii="Verdana" w:hAnsi="Verdana"/>
          <w:lang w:val="en-US"/>
        </w:rPr>
        <w:t xml:space="preserve">projected in and out flows to be paid during the reporting period are the cash-flows reported in the first diagonal covering the </w:t>
      </w:r>
      <w:r w:rsidR="00FB28AA">
        <w:rPr>
          <w:rFonts w:ascii="Verdana" w:hAnsi="Verdana"/>
          <w:lang w:val="en-US"/>
        </w:rPr>
        <w:t xml:space="preserve">accident </w:t>
      </w:r>
      <w:r w:rsidRPr="008620C2">
        <w:rPr>
          <w:rFonts w:ascii="Verdana" w:hAnsi="Verdana"/>
          <w:lang w:val="en-US"/>
        </w:rPr>
        <w:t>year</w:t>
      </w:r>
      <w:r w:rsidR="00FB28AA">
        <w:rPr>
          <w:rFonts w:ascii="Verdana" w:hAnsi="Verdana"/>
          <w:lang w:val="en-US"/>
        </w:rPr>
        <w:t>s</w:t>
      </w:r>
      <w:r w:rsidRPr="008620C2">
        <w:rPr>
          <w:rFonts w:ascii="Verdana" w:hAnsi="Verdana"/>
          <w:lang w:val="en-US"/>
        </w:rPr>
        <w:t xml:space="preserve"> prior to the period. E.g. cash-flows from accidents in 2015 projected to be paid in year 1 (2016), or accidents in 2014 project</w:t>
      </w:r>
      <w:r w:rsidR="00582920" w:rsidRPr="008620C2">
        <w:rPr>
          <w:rFonts w:ascii="Verdana" w:hAnsi="Verdana"/>
          <w:lang w:val="en-US"/>
        </w:rPr>
        <w:t xml:space="preserve">ed to be paid in year 2 (2016) but once the annuity is recognized the lump sum (10) also needs to be deducted from the year N projection (10 in R0170 and 41.7 in R0220 in Case 2B corresponds to the 51.7 in R0220 in case 1C, which is the amount projected for the reporting year. </w:t>
      </w:r>
    </w:p>
    <w:p w:rsidR="003227BE" w:rsidRPr="007853BA" w:rsidRDefault="003227BE" w:rsidP="003227BE">
      <w:pPr>
        <w:jc w:val="both"/>
        <w:rPr>
          <w:rFonts w:ascii="Verdana" w:hAnsi="Verdana"/>
          <w:lang w:val="en-US"/>
        </w:rPr>
      </w:pPr>
      <w:r w:rsidRPr="007853BA">
        <w:rPr>
          <w:rFonts w:ascii="Verdana" w:hAnsi="Verdana"/>
          <w:lang w:val="en-US"/>
        </w:rPr>
        <w:t>R0240: changes in non-</w:t>
      </w:r>
      <w:r w:rsidRPr="008620C2">
        <w:rPr>
          <w:rFonts w:ascii="Verdana" w:hAnsi="Verdana"/>
          <w:lang w:val="en-US"/>
        </w:rPr>
        <w:t>economic assumptions is calculated with the difference between closing best estimate and opening best estimate except the first diagonal already reported in R0220. In this case we are assuming all variations are due to non-economic assumptions</w:t>
      </w:r>
      <w:r w:rsidRPr="007853BA">
        <w:rPr>
          <w:rFonts w:ascii="Verdana" w:hAnsi="Verdana"/>
          <w:lang w:val="en-US"/>
        </w:rPr>
        <w:t>.</w:t>
      </w:r>
    </w:p>
    <w:p w:rsidR="003227BE" w:rsidRPr="00AD7EC0" w:rsidRDefault="003227BE" w:rsidP="00EA1FC5">
      <w:pPr>
        <w:jc w:val="both"/>
        <w:rPr>
          <w:rFonts w:ascii="Verdana" w:hAnsi="Verdana"/>
          <w:b/>
          <w:color w:val="365F91" w:themeColor="accent1" w:themeShade="BF"/>
          <w:lang w:val="en-US"/>
        </w:rPr>
      </w:pPr>
      <w:r w:rsidRPr="007853BA">
        <w:rPr>
          <w:rFonts w:ascii="Verdana" w:hAnsi="Verdana"/>
          <w:lang w:val="en-US"/>
        </w:rPr>
        <w:t xml:space="preserve">R0360: </w:t>
      </w:r>
      <w:r w:rsidRPr="008620C2">
        <w:rPr>
          <w:rFonts w:ascii="Verdana" w:hAnsi="Verdana"/>
          <w:lang w:val="en-US"/>
        </w:rPr>
        <w:t>Reflects the full impact in the EoAoL, i.e. the variation in the best estimate (-16.6</w:t>
      </w:r>
      <w:r w:rsidR="00EA1FC5" w:rsidRPr="008620C2">
        <w:rPr>
          <w:rFonts w:ascii="Verdana" w:hAnsi="Verdana"/>
          <w:lang w:val="en-US"/>
        </w:rPr>
        <w:t xml:space="preserve"> for non-life and -10 for life</w:t>
      </w:r>
      <w:r w:rsidRPr="008620C2">
        <w:rPr>
          <w:rFonts w:ascii="Verdana" w:hAnsi="Verdana"/>
          <w:lang w:val="en-US"/>
        </w:rPr>
        <w:t>) and the impact of the technical flows (11.7), summing -</w:t>
      </w:r>
      <w:r w:rsidR="00EA1FC5" w:rsidRPr="008620C2">
        <w:rPr>
          <w:rFonts w:ascii="Verdana" w:hAnsi="Verdana"/>
          <w:lang w:val="en-US"/>
        </w:rPr>
        <w:t>1</w:t>
      </w:r>
      <w:r w:rsidRPr="008620C2">
        <w:rPr>
          <w:rFonts w:ascii="Verdana" w:hAnsi="Verdana"/>
          <w:lang w:val="en-US"/>
        </w:rPr>
        <w:t>4.9.</w:t>
      </w:r>
    </w:p>
    <w:p w:rsidR="002E7251" w:rsidRDefault="00F304BD" w:rsidP="007B064E">
      <w:pPr>
        <w:rPr>
          <w:rFonts w:ascii="Verdana" w:hAnsi="Verdana"/>
          <w:lang w:val="en-US"/>
        </w:rPr>
      </w:pPr>
      <w:r w:rsidRPr="00F304BD">
        <w:rPr>
          <w:rFonts w:ascii="Verdana" w:hAnsi="Verdana"/>
          <w:lang w:val="en-US"/>
        </w:rPr>
        <w:t xml:space="preserve"> </w:t>
      </w:r>
      <w:r w:rsidR="001952F0" w:rsidRPr="001952F0">
        <w:rPr>
          <w:rFonts w:ascii="Verdana" w:hAnsi="Verdana"/>
          <w:lang w:val="en-US"/>
        </w:rPr>
        <w:t xml:space="preserve"> </w:t>
      </w:r>
      <w:r w:rsidR="001952F0" w:rsidRPr="001952F0">
        <w:rPr>
          <w:noProof/>
          <w:lang w:val="en-GB" w:eastAsia="en-GB"/>
        </w:rPr>
        <w:drawing>
          <wp:inline distT="0" distB="0" distL="0" distR="0" wp14:anchorId="5DE0F192" wp14:editId="338AE0A2">
            <wp:extent cx="5760720" cy="2683254"/>
            <wp:effectExtent l="0" t="0" r="0" b="317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760720" cy="2683254"/>
                    </a:xfrm>
                    <a:prstGeom prst="rect">
                      <a:avLst/>
                    </a:prstGeom>
                    <a:noFill/>
                    <a:ln>
                      <a:noFill/>
                    </a:ln>
                  </pic:spPr>
                </pic:pic>
              </a:graphicData>
            </a:graphic>
          </wp:inline>
        </w:drawing>
      </w:r>
    </w:p>
    <w:p w:rsidR="007B064E" w:rsidRPr="007853BA" w:rsidRDefault="007B064E" w:rsidP="007B064E">
      <w:pPr>
        <w:rPr>
          <w:rFonts w:ascii="Verdana" w:hAnsi="Verdana"/>
          <w:lang w:val="en-US"/>
        </w:rPr>
      </w:pPr>
      <w:r w:rsidRPr="007853BA">
        <w:rPr>
          <w:rFonts w:ascii="Verdana" w:hAnsi="Verdana"/>
          <w:lang w:val="en-US"/>
        </w:rPr>
        <w:t>Notes/explanations:</w:t>
      </w:r>
    </w:p>
    <w:p w:rsidR="007B064E" w:rsidRPr="007853BA" w:rsidRDefault="007B064E" w:rsidP="007B064E">
      <w:pPr>
        <w:rPr>
          <w:rFonts w:ascii="Verdana" w:hAnsi="Verdana"/>
          <w:b/>
          <w:lang w:val="en-US"/>
        </w:rPr>
      </w:pPr>
      <w:r w:rsidRPr="007853BA">
        <w:rPr>
          <w:rFonts w:ascii="Verdana" w:hAnsi="Verdana"/>
          <w:b/>
          <w:lang w:val="en-US"/>
        </w:rPr>
        <w:t>S.29.04</w:t>
      </w:r>
    </w:p>
    <w:p w:rsidR="007B064E" w:rsidRPr="007853BA" w:rsidRDefault="007B064E" w:rsidP="007B064E">
      <w:pPr>
        <w:jc w:val="both"/>
        <w:rPr>
          <w:rFonts w:ascii="Verdana" w:hAnsi="Verdana"/>
          <w:lang w:val="en-US"/>
        </w:rPr>
      </w:pPr>
      <w:r w:rsidRPr="007853BA">
        <w:rPr>
          <w:rFonts w:ascii="Verdana" w:hAnsi="Verdana"/>
          <w:lang w:val="en-US"/>
        </w:rPr>
        <w:t xml:space="preserve">R0090: reflects the amount </w:t>
      </w:r>
      <w:r w:rsidR="00584A53">
        <w:rPr>
          <w:rFonts w:ascii="Verdana" w:hAnsi="Verdana"/>
          <w:lang w:val="en-US"/>
        </w:rPr>
        <w:t>settled</w:t>
      </w:r>
      <w:r w:rsidR="00584A53" w:rsidRPr="007853BA">
        <w:rPr>
          <w:rFonts w:ascii="Verdana" w:hAnsi="Verdana"/>
          <w:lang w:val="en-US"/>
        </w:rPr>
        <w:t xml:space="preserve"> </w:t>
      </w:r>
      <w:r w:rsidRPr="007853BA">
        <w:rPr>
          <w:rFonts w:ascii="Verdana" w:hAnsi="Verdana"/>
          <w:lang w:val="en-US"/>
        </w:rPr>
        <w:t xml:space="preserve">during the reporting period split between risks covered during and prior to the period. </w:t>
      </w:r>
    </w:p>
    <w:p w:rsidR="008230DC" w:rsidRDefault="007B064E" w:rsidP="007B064E">
      <w:pPr>
        <w:jc w:val="both"/>
        <w:rPr>
          <w:rFonts w:ascii="Verdana" w:hAnsi="Verdana"/>
          <w:lang w:val="en-US"/>
        </w:rPr>
      </w:pPr>
      <w:r w:rsidRPr="007853BA">
        <w:rPr>
          <w:rFonts w:ascii="Verdana" w:hAnsi="Verdana"/>
          <w:lang w:val="en-US"/>
        </w:rPr>
        <w:t xml:space="preserve">R0110: </w:t>
      </w:r>
      <w:r w:rsidRPr="008620C2">
        <w:rPr>
          <w:rFonts w:ascii="Verdana" w:hAnsi="Verdana"/>
          <w:lang w:val="en-US"/>
        </w:rPr>
        <w:t xml:space="preserve">This is the variation effects </w:t>
      </w:r>
      <w:r w:rsidR="001952F0" w:rsidRPr="00BB09C7">
        <w:rPr>
          <w:rFonts w:ascii="Verdana" w:hAnsi="Verdana"/>
          <w:color w:val="FF0000"/>
          <w:lang w:val="en-US"/>
        </w:rPr>
        <w:t xml:space="preserve">directly linked to the acceptance of risks </w:t>
      </w:r>
      <w:r w:rsidRPr="008620C2">
        <w:rPr>
          <w:rFonts w:ascii="Verdana" w:hAnsi="Verdana"/>
          <w:lang w:val="en-US"/>
        </w:rPr>
        <w:t xml:space="preserve">captured in </w:t>
      </w:r>
      <w:r w:rsidRPr="00BB09C7">
        <w:rPr>
          <w:rFonts w:ascii="Verdana" w:hAnsi="Verdana"/>
          <w:color w:val="FF0000"/>
          <w:lang w:val="en-US"/>
        </w:rPr>
        <w:t>R0</w:t>
      </w:r>
      <w:r w:rsidR="0090642A" w:rsidRPr="00BB09C7">
        <w:rPr>
          <w:rFonts w:ascii="Verdana" w:hAnsi="Verdana"/>
          <w:color w:val="FF0000"/>
          <w:lang w:val="en-US"/>
        </w:rPr>
        <w:t>19</w:t>
      </w:r>
      <w:r w:rsidRPr="00BB09C7">
        <w:rPr>
          <w:rFonts w:ascii="Verdana" w:hAnsi="Verdana"/>
          <w:color w:val="FF0000"/>
          <w:lang w:val="en-US"/>
        </w:rPr>
        <w:t>0</w:t>
      </w:r>
      <w:r w:rsidRPr="008620C2">
        <w:rPr>
          <w:rFonts w:ascii="Verdana" w:hAnsi="Verdana"/>
          <w:lang w:val="en-US"/>
        </w:rPr>
        <w:t xml:space="preserve"> up to </w:t>
      </w:r>
      <w:r w:rsidRPr="00BB09C7">
        <w:rPr>
          <w:rFonts w:ascii="Verdana" w:hAnsi="Verdana"/>
          <w:color w:val="FF0000"/>
          <w:lang w:val="en-US"/>
        </w:rPr>
        <w:t>R02</w:t>
      </w:r>
      <w:r w:rsidR="001952F0" w:rsidRPr="00BB09C7">
        <w:rPr>
          <w:rFonts w:ascii="Verdana" w:hAnsi="Verdana"/>
          <w:color w:val="FF0000"/>
          <w:lang w:val="en-US"/>
        </w:rPr>
        <w:t>5</w:t>
      </w:r>
      <w:r w:rsidRPr="00BB09C7">
        <w:rPr>
          <w:rFonts w:ascii="Verdana" w:hAnsi="Verdana"/>
          <w:color w:val="FF0000"/>
          <w:lang w:val="en-US"/>
        </w:rPr>
        <w:t>0</w:t>
      </w:r>
      <w:r w:rsidRPr="008620C2">
        <w:rPr>
          <w:rFonts w:ascii="Verdana" w:hAnsi="Verdana"/>
          <w:lang w:val="en-US"/>
        </w:rPr>
        <w:t xml:space="preserve"> in the S.29.03, i.e. </w:t>
      </w:r>
      <w:r w:rsidR="001952F0" w:rsidRPr="00D5762E">
        <w:rPr>
          <w:rFonts w:ascii="Verdana" w:hAnsi="Verdana"/>
          <w:color w:val="FF0000"/>
          <w:lang w:val="en-US"/>
        </w:rPr>
        <w:t>2</w:t>
      </w:r>
      <w:r w:rsidRPr="00D5762E">
        <w:rPr>
          <w:rFonts w:ascii="Verdana" w:hAnsi="Verdana"/>
          <w:color w:val="FF0000"/>
          <w:lang w:val="en-US"/>
        </w:rPr>
        <w:t>6.6</w:t>
      </w:r>
      <w:r w:rsidR="00743C0B" w:rsidRPr="00D5762E">
        <w:rPr>
          <w:rFonts w:ascii="Verdana" w:hAnsi="Verdana"/>
          <w:color w:val="FF0000"/>
          <w:lang w:val="en-US"/>
        </w:rPr>
        <w:t xml:space="preserve"> </w:t>
      </w:r>
      <w:r w:rsidR="00743C0B" w:rsidRPr="008620C2">
        <w:rPr>
          <w:rFonts w:ascii="Verdana" w:hAnsi="Verdana"/>
          <w:lang w:val="en-US"/>
        </w:rPr>
        <w:t xml:space="preserve">for non-life and </w:t>
      </w:r>
      <w:r w:rsidR="00743C0B" w:rsidRPr="00BB09C7">
        <w:rPr>
          <w:rFonts w:ascii="Verdana" w:hAnsi="Verdana"/>
          <w:color w:val="FF0000"/>
          <w:lang w:val="en-US"/>
        </w:rPr>
        <w:t xml:space="preserve">0 </w:t>
      </w:r>
      <w:r w:rsidR="00743C0B" w:rsidRPr="008620C2">
        <w:rPr>
          <w:rFonts w:ascii="Verdana" w:hAnsi="Verdana"/>
          <w:lang w:val="en-US"/>
        </w:rPr>
        <w:t>for life</w:t>
      </w:r>
      <w:r w:rsidRPr="008620C2">
        <w:rPr>
          <w:rFonts w:ascii="Verdana" w:hAnsi="Verdana"/>
          <w:lang w:val="en-US"/>
        </w:rPr>
        <w:t>, but split by periods</w:t>
      </w:r>
      <w:r w:rsidR="00743C0B" w:rsidRPr="008620C2">
        <w:rPr>
          <w:rFonts w:ascii="Verdana" w:hAnsi="Verdana"/>
          <w:lang w:val="en-US"/>
        </w:rPr>
        <w:t>.</w:t>
      </w:r>
      <w:r w:rsidRPr="008620C2">
        <w:rPr>
          <w:rFonts w:ascii="Verdana" w:hAnsi="Verdana"/>
          <w:lang w:val="en-US"/>
        </w:rPr>
        <w:t xml:space="preserve"> </w:t>
      </w:r>
      <w:r w:rsidR="001952F0" w:rsidRPr="00BB09C7">
        <w:rPr>
          <w:rFonts w:ascii="Verdana" w:hAnsi="Verdana"/>
          <w:color w:val="FF0000"/>
          <w:lang w:val="en-US"/>
        </w:rPr>
        <w:t>Please note para. 1.57 (the variation triggered for example by changes in perimeter or foreign exchange variation should not be reported in S.29.04. This means that this cells do not reflect the total variation of the best estimate.)</w:t>
      </w:r>
    </w:p>
    <w:p w:rsidR="007B064E" w:rsidRPr="007853BA" w:rsidRDefault="007B064E" w:rsidP="007853BA">
      <w:pPr>
        <w:jc w:val="both"/>
        <w:rPr>
          <w:rFonts w:ascii="Verdana" w:hAnsi="Verdana"/>
          <w:lang w:val="en-US"/>
        </w:rPr>
      </w:pPr>
      <w:r w:rsidRPr="007853BA">
        <w:rPr>
          <w:rFonts w:ascii="Verdana" w:hAnsi="Verdana"/>
          <w:lang w:val="en-US"/>
        </w:rPr>
        <w:t xml:space="preserve">R0140: </w:t>
      </w:r>
      <w:r w:rsidRPr="00EA393A">
        <w:rPr>
          <w:rFonts w:ascii="Verdana" w:hAnsi="Verdana"/>
          <w:lang w:val="en-US"/>
        </w:rPr>
        <w:t xml:space="preserve">Note that the amount reported in S.29.03/R0360 and S.29.04/R0140 should be the same with </w:t>
      </w:r>
      <w:r w:rsidR="00EA393A">
        <w:rPr>
          <w:rFonts w:ascii="Verdana" w:hAnsi="Verdana"/>
          <w:lang w:val="en-US"/>
        </w:rPr>
        <w:t>same</w:t>
      </w:r>
      <w:r w:rsidR="00EA393A" w:rsidRPr="00EA393A">
        <w:rPr>
          <w:rFonts w:ascii="Verdana" w:hAnsi="Verdana"/>
          <w:lang w:val="en-US"/>
        </w:rPr>
        <w:t xml:space="preserve"> </w:t>
      </w:r>
      <w:r w:rsidRPr="00EA393A">
        <w:rPr>
          <w:rFonts w:ascii="Verdana" w:hAnsi="Verdana"/>
          <w:lang w:val="en-US"/>
        </w:rPr>
        <w:t>signs</w:t>
      </w:r>
      <w:r w:rsidRPr="008620C2">
        <w:rPr>
          <w:rFonts w:ascii="Verdana" w:hAnsi="Verdana"/>
          <w:lang w:val="en-US"/>
        </w:rPr>
        <w:t xml:space="preserve"> (this can only hold if either analysis is performed on a segment/LOB basis and if there are no unexplained changes in R0260 in S.29.03). In this case in S.29.04 needs to be the some of the three periods. </w:t>
      </w:r>
    </w:p>
    <w:p w:rsidR="00D26C11" w:rsidRPr="007853BA" w:rsidRDefault="00D26C11" w:rsidP="00D26C11">
      <w:pPr>
        <w:pStyle w:val="Heading1"/>
        <w:rPr>
          <w:rFonts w:ascii="Verdana" w:hAnsi="Verdana"/>
          <w:sz w:val="22"/>
          <w:lang w:val="en-US"/>
        </w:rPr>
      </w:pPr>
      <w:r w:rsidRPr="007853BA">
        <w:rPr>
          <w:rFonts w:ascii="Verdana" w:hAnsi="Verdana"/>
          <w:sz w:val="22"/>
          <w:lang w:val="en-US"/>
        </w:rPr>
        <w:t>Case 3: Run-off with discounting</w:t>
      </w:r>
    </w:p>
    <w:p w:rsidR="004174AF" w:rsidRDefault="004174AF">
      <w:pPr>
        <w:rPr>
          <w:rFonts w:ascii="Verdana" w:hAnsi="Verdana"/>
          <w:lang w:val="en-US"/>
        </w:rPr>
      </w:pPr>
      <w:r w:rsidRPr="004174AF">
        <w:rPr>
          <w:noProof/>
          <w:lang w:val="en-GB" w:eastAsia="en-GB"/>
        </w:rPr>
        <w:drawing>
          <wp:inline distT="0" distB="0" distL="0" distR="0" wp14:anchorId="1368C17F" wp14:editId="628896EB">
            <wp:extent cx="4850130" cy="6642100"/>
            <wp:effectExtent l="0" t="0" r="7620" b="635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850130" cy="6642100"/>
                    </a:xfrm>
                    <a:prstGeom prst="rect">
                      <a:avLst/>
                    </a:prstGeom>
                    <a:noFill/>
                    <a:ln>
                      <a:noFill/>
                    </a:ln>
                  </pic:spPr>
                </pic:pic>
              </a:graphicData>
            </a:graphic>
          </wp:inline>
        </w:drawing>
      </w:r>
    </w:p>
    <w:p w:rsidR="004174AF" w:rsidRPr="007853BA" w:rsidRDefault="004174AF">
      <w:pPr>
        <w:rPr>
          <w:rFonts w:ascii="Verdana" w:hAnsi="Verdana"/>
          <w:lang w:val="en-US"/>
        </w:rPr>
      </w:pPr>
      <w:r w:rsidRPr="007853BA">
        <w:rPr>
          <w:rFonts w:ascii="Verdana" w:hAnsi="Verdana"/>
          <w:lang w:val="en-US"/>
        </w:rPr>
        <w:t xml:space="preserve">Formulas made available in the excel file. </w:t>
      </w:r>
    </w:p>
    <w:p w:rsidR="00533F22" w:rsidRDefault="00533F22">
      <w:pPr>
        <w:rPr>
          <w:rFonts w:ascii="Verdana" w:hAnsi="Verdana"/>
          <w:lang w:val="en-US"/>
        </w:rPr>
      </w:pPr>
    </w:p>
    <w:p w:rsidR="00533F22" w:rsidRDefault="00533F22">
      <w:pPr>
        <w:rPr>
          <w:rFonts w:ascii="Verdana" w:hAnsi="Verdana"/>
          <w:lang w:val="en-US"/>
        </w:rPr>
      </w:pPr>
      <w:r w:rsidRPr="00533F22">
        <w:rPr>
          <w:noProof/>
          <w:lang w:val="en-GB" w:eastAsia="en-GB"/>
        </w:rPr>
        <w:drawing>
          <wp:inline distT="0" distB="0" distL="0" distR="0" wp14:anchorId="077D8CC3" wp14:editId="1C9226A5">
            <wp:extent cx="5760720" cy="6541247"/>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760720" cy="6541247"/>
                    </a:xfrm>
                    <a:prstGeom prst="rect">
                      <a:avLst/>
                    </a:prstGeom>
                    <a:noFill/>
                    <a:ln>
                      <a:noFill/>
                    </a:ln>
                  </pic:spPr>
                </pic:pic>
              </a:graphicData>
            </a:graphic>
          </wp:inline>
        </w:drawing>
      </w:r>
    </w:p>
    <w:p w:rsidR="004174AF" w:rsidRPr="007853BA" w:rsidRDefault="004174AF" w:rsidP="004174AF">
      <w:pPr>
        <w:rPr>
          <w:rFonts w:ascii="Verdana" w:hAnsi="Verdana"/>
          <w:lang w:val="en-US"/>
        </w:rPr>
      </w:pPr>
      <w:r w:rsidRPr="007853BA">
        <w:rPr>
          <w:rFonts w:ascii="Verdana" w:hAnsi="Verdana"/>
          <w:lang w:val="en-US"/>
        </w:rPr>
        <w:t>Notes/explanations:</w:t>
      </w:r>
    </w:p>
    <w:p w:rsidR="004174AF" w:rsidRPr="007853BA" w:rsidRDefault="004174AF" w:rsidP="004174AF">
      <w:pPr>
        <w:rPr>
          <w:rFonts w:ascii="Verdana" w:hAnsi="Verdana"/>
          <w:b/>
          <w:lang w:val="en-US"/>
        </w:rPr>
      </w:pPr>
      <w:r w:rsidRPr="007853BA">
        <w:rPr>
          <w:rFonts w:ascii="Verdana" w:hAnsi="Verdana"/>
          <w:b/>
          <w:lang w:val="en-US"/>
        </w:rPr>
        <w:t>S.29.03</w:t>
      </w:r>
    </w:p>
    <w:p w:rsidR="004174AF" w:rsidRPr="007853BA" w:rsidRDefault="004174AF" w:rsidP="004174AF">
      <w:pPr>
        <w:rPr>
          <w:rFonts w:ascii="Verdana" w:hAnsi="Verdana"/>
          <w:lang w:val="en-US"/>
        </w:rPr>
      </w:pPr>
      <w:r w:rsidRPr="007853BA">
        <w:rPr>
          <w:rFonts w:ascii="Verdana" w:hAnsi="Verdana"/>
          <w:lang w:val="en-US"/>
        </w:rPr>
        <w:t xml:space="preserve">R0150: projected cash-flows at the </w:t>
      </w:r>
      <w:r w:rsidRPr="008620C2">
        <w:rPr>
          <w:rFonts w:ascii="Verdana" w:hAnsi="Verdana"/>
          <w:lang w:val="en-US"/>
        </w:rPr>
        <w:t>opening position discounted</w:t>
      </w:r>
    </w:p>
    <w:p w:rsidR="00EE2EB0" w:rsidRPr="007853BA" w:rsidRDefault="004174AF" w:rsidP="004174AF">
      <w:pPr>
        <w:rPr>
          <w:rFonts w:ascii="Verdana" w:hAnsi="Verdana"/>
          <w:lang w:val="en-US"/>
        </w:rPr>
      </w:pPr>
      <w:r w:rsidRPr="007853BA">
        <w:rPr>
          <w:rFonts w:ascii="Verdana" w:hAnsi="Verdana"/>
          <w:lang w:val="en-US"/>
        </w:rPr>
        <w:t xml:space="preserve">R0210: </w:t>
      </w:r>
      <w:r w:rsidR="00EE2EB0" w:rsidRPr="008620C2">
        <w:rPr>
          <w:rFonts w:ascii="Verdana" w:hAnsi="Verdana"/>
          <w:lang w:val="en-US"/>
        </w:rPr>
        <w:t>difference between opening BE and BE calculated discounting the Cash-Flows with the implied interest rate (1_year implied forwarded interest rate term structure @t=0)</w:t>
      </w:r>
    </w:p>
    <w:p w:rsidR="004174AF" w:rsidRPr="007853BA" w:rsidRDefault="004174AF" w:rsidP="004174AF">
      <w:pPr>
        <w:rPr>
          <w:rFonts w:ascii="Verdana" w:hAnsi="Verdana"/>
          <w:lang w:val="en-US"/>
        </w:rPr>
      </w:pPr>
      <w:r w:rsidRPr="007853BA">
        <w:rPr>
          <w:rFonts w:ascii="Verdana" w:hAnsi="Verdana"/>
          <w:lang w:val="en-US"/>
        </w:rPr>
        <w:t>R0220: minus the estimated CF projected for the year t</w:t>
      </w:r>
      <w:r w:rsidRPr="008620C2">
        <w:rPr>
          <w:rFonts w:ascii="Verdana" w:hAnsi="Verdana"/>
          <w:lang w:val="en-US"/>
        </w:rPr>
        <w:t xml:space="preserve">hat is finishing </w:t>
      </w:r>
    </w:p>
    <w:p w:rsidR="00EE2EB0" w:rsidRPr="007853BA" w:rsidRDefault="004174AF" w:rsidP="00EE2EB0">
      <w:pPr>
        <w:rPr>
          <w:rFonts w:ascii="Verdana" w:hAnsi="Verdana"/>
          <w:lang w:val="en-US"/>
        </w:rPr>
      </w:pPr>
      <w:r w:rsidRPr="007853BA">
        <w:rPr>
          <w:rFonts w:ascii="Verdana" w:hAnsi="Verdana"/>
          <w:lang w:val="en-US"/>
        </w:rPr>
        <w:t xml:space="preserve">R0240: </w:t>
      </w:r>
      <w:r w:rsidR="00EE2EB0" w:rsidRPr="008620C2">
        <w:rPr>
          <w:rFonts w:ascii="Verdana" w:hAnsi="Verdana"/>
          <w:lang w:val="en-US"/>
        </w:rPr>
        <w:t xml:space="preserve">difference between the revised cash-flows and original cash-flows estimated, both discounted with the implied interest rate (1_year implied forwarded interest rate term structure @t=0) </w:t>
      </w:r>
    </w:p>
    <w:p w:rsidR="00EE2EB0" w:rsidRPr="007853BA" w:rsidRDefault="00EE2EB0" w:rsidP="00EE2EB0">
      <w:pPr>
        <w:rPr>
          <w:rFonts w:ascii="Verdana" w:hAnsi="Verdana"/>
          <w:lang w:val="en-US"/>
        </w:rPr>
      </w:pPr>
      <w:r w:rsidRPr="007853BA">
        <w:rPr>
          <w:rFonts w:ascii="Verdana" w:hAnsi="Verdana"/>
          <w:lang w:val="en-US"/>
        </w:rPr>
        <w:t>R0250: considering now the revised Cash-flows</w:t>
      </w:r>
      <w:r w:rsidRPr="008620C2">
        <w:rPr>
          <w:rFonts w:ascii="Verdana" w:hAnsi="Verdana"/>
          <w:lang w:val="en-US"/>
        </w:rPr>
        <w:t>, assess the impact of a change in an economic item, in this case the discount curve. Difference between the revised cash-flows discounted with the implied interest rate (1_year implied forwarded interest rate term structure @t=0)</w:t>
      </w:r>
      <w:r w:rsidR="000876CC" w:rsidRPr="008620C2">
        <w:rPr>
          <w:rFonts w:ascii="Verdana" w:hAnsi="Verdana"/>
          <w:lang w:val="en-US"/>
        </w:rPr>
        <w:t xml:space="preserve"> and discounted with hypothetical interest rate term structure @t=1 (just an assumption).</w:t>
      </w:r>
    </w:p>
    <w:p w:rsidR="004174AF" w:rsidRPr="007853BA" w:rsidRDefault="004174AF" w:rsidP="004174AF">
      <w:pPr>
        <w:jc w:val="both"/>
        <w:rPr>
          <w:rFonts w:ascii="Verdana" w:hAnsi="Verdana"/>
          <w:lang w:val="en-US"/>
        </w:rPr>
      </w:pPr>
      <w:r w:rsidRPr="007853BA">
        <w:rPr>
          <w:rFonts w:ascii="Verdana" w:hAnsi="Verdana"/>
          <w:lang w:val="en-US"/>
        </w:rPr>
        <w:t xml:space="preserve">R0320: reflects the amount </w:t>
      </w:r>
      <w:r w:rsidR="00584A53">
        <w:rPr>
          <w:rFonts w:ascii="Verdana" w:hAnsi="Verdana"/>
          <w:lang w:val="en-US"/>
        </w:rPr>
        <w:t>settled</w:t>
      </w:r>
      <w:r w:rsidR="00584A53" w:rsidRPr="007853BA">
        <w:rPr>
          <w:rFonts w:ascii="Verdana" w:hAnsi="Verdana"/>
          <w:lang w:val="en-US"/>
        </w:rPr>
        <w:t xml:space="preserve"> </w:t>
      </w:r>
      <w:r w:rsidRPr="007853BA">
        <w:rPr>
          <w:rFonts w:ascii="Verdana" w:hAnsi="Verdana"/>
          <w:lang w:val="en-US"/>
        </w:rPr>
        <w:t>during the reporting period</w:t>
      </w:r>
      <w:r w:rsidR="00533F22" w:rsidRPr="008620C2">
        <w:rPr>
          <w:rFonts w:ascii="Verdana" w:hAnsi="Verdana"/>
          <w:lang w:val="en-US"/>
        </w:rPr>
        <w:t>;</w:t>
      </w:r>
    </w:p>
    <w:p w:rsidR="00533F22" w:rsidRPr="00AD7EC0" w:rsidRDefault="004174AF" w:rsidP="00533F22">
      <w:pPr>
        <w:jc w:val="both"/>
        <w:rPr>
          <w:rFonts w:ascii="Verdana" w:hAnsi="Verdana"/>
          <w:b/>
          <w:color w:val="365F91" w:themeColor="accent1" w:themeShade="BF"/>
          <w:lang w:val="en-US"/>
        </w:rPr>
      </w:pPr>
      <w:r w:rsidRPr="007853BA">
        <w:rPr>
          <w:rFonts w:ascii="Verdana" w:hAnsi="Verdana"/>
          <w:lang w:val="en-US"/>
        </w:rPr>
        <w:t xml:space="preserve">R0360: Reflects the full impact in the EoAoL, i.e. </w:t>
      </w:r>
      <w:r w:rsidR="00533F22" w:rsidRPr="008620C2">
        <w:rPr>
          <w:rFonts w:ascii="Verdana" w:hAnsi="Verdana"/>
          <w:lang w:val="en-US"/>
        </w:rPr>
        <w:t>the variation in the best estimate (-44.2995) and the impact of the technical flows (80), summing -35.7005.</w:t>
      </w:r>
    </w:p>
    <w:p w:rsidR="00F62D6E" w:rsidRDefault="00EB1BDE" w:rsidP="00533F22">
      <w:pPr>
        <w:rPr>
          <w:rFonts w:ascii="Verdana" w:hAnsi="Verdana"/>
          <w:lang w:val="en-US"/>
        </w:rPr>
      </w:pPr>
      <w:r w:rsidRPr="00EB1BDE">
        <w:rPr>
          <w:rFonts w:ascii="Verdana" w:hAnsi="Verdana"/>
          <w:lang w:val="en-US"/>
        </w:rPr>
        <w:t xml:space="preserve"> </w:t>
      </w:r>
      <w:r w:rsidRPr="00EB1BDE">
        <w:rPr>
          <w:noProof/>
          <w:lang w:val="en-GB" w:eastAsia="en-GB"/>
        </w:rPr>
        <w:drawing>
          <wp:inline distT="0" distB="0" distL="0" distR="0" wp14:anchorId="6A550E0B" wp14:editId="27858C9C">
            <wp:extent cx="5760720" cy="1626929"/>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760720" cy="1626929"/>
                    </a:xfrm>
                    <a:prstGeom prst="rect">
                      <a:avLst/>
                    </a:prstGeom>
                    <a:noFill/>
                    <a:ln>
                      <a:noFill/>
                    </a:ln>
                  </pic:spPr>
                </pic:pic>
              </a:graphicData>
            </a:graphic>
          </wp:inline>
        </w:drawing>
      </w:r>
    </w:p>
    <w:p w:rsidR="00533F22" w:rsidRPr="007853BA" w:rsidRDefault="00533F22" w:rsidP="00533F22">
      <w:pPr>
        <w:rPr>
          <w:rFonts w:ascii="Verdana" w:hAnsi="Verdana"/>
          <w:lang w:val="en-US"/>
        </w:rPr>
      </w:pPr>
      <w:r w:rsidRPr="007853BA">
        <w:rPr>
          <w:rFonts w:ascii="Verdana" w:hAnsi="Verdana"/>
          <w:lang w:val="en-US"/>
        </w:rPr>
        <w:t>Notes/explanations:</w:t>
      </w:r>
    </w:p>
    <w:p w:rsidR="00533F22" w:rsidRPr="007853BA" w:rsidRDefault="00533F22" w:rsidP="00533F22">
      <w:pPr>
        <w:rPr>
          <w:rFonts w:ascii="Verdana" w:hAnsi="Verdana"/>
          <w:b/>
          <w:lang w:val="en-US"/>
        </w:rPr>
      </w:pPr>
      <w:r w:rsidRPr="007853BA">
        <w:rPr>
          <w:rFonts w:ascii="Verdana" w:hAnsi="Verdana"/>
          <w:b/>
          <w:lang w:val="en-US"/>
        </w:rPr>
        <w:t>S.29.04</w:t>
      </w:r>
    </w:p>
    <w:p w:rsidR="002B7FB1" w:rsidRPr="007853BA" w:rsidRDefault="002B7FB1" w:rsidP="002B7FB1">
      <w:pPr>
        <w:jc w:val="both"/>
        <w:rPr>
          <w:rFonts w:ascii="Verdana" w:hAnsi="Verdana"/>
          <w:lang w:val="en-US"/>
        </w:rPr>
      </w:pPr>
      <w:r w:rsidRPr="007853BA">
        <w:rPr>
          <w:rFonts w:ascii="Verdana" w:hAnsi="Verdana"/>
          <w:lang w:val="en-US"/>
        </w:rPr>
        <w:t xml:space="preserve">R0090: reflects the amount </w:t>
      </w:r>
      <w:r w:rsidR="00584A53">
        <w:rPr>
          <w:rFonts w:ascii="Verdana" w:hAnsi="Verdana"/>
          <w:lang w:val="en-US"/>
        </w:rPr>
        <w:t>settled</w:t>
      </w:r>
      <w:r w:rsidR="00584A53" w:rsidRPr="007853BA">
        <w:rPr>
          <w:rFonts w:ascii="Verdana" w:hAnsi="Verdana"/>
          <w:lang w:val="en-US"/>
        </w:rPr>
        <w:t xml:space="preserve"> </w:t>
      </w:r>
      <w:r w:rsidRPr="007853BA">
        <w:rPr>
          <w:rFonts w:ascii="Verdana" w:hAnsi="Verdana"/>
          <w:lang w:val="en-US"/>
        </w:rPr>
        <w:t xml:space="preserve">during the reporting </w:t>
      </w:r>
    </w:p>
    <w:p w:rsidR="002B7FB1" w:rsidRPr="007853BA" w:rsidRDefault="002B7FB1" w:rsidP="002B7FB1">
      <w:pPr>
        <w:jc w:val="both"/>
        <w:rPr>
          <w:rFonts w:ascii="Verdana" w:hAnsi="Verdana"/>
          <w:lang w:val="en-US"/>
        </w:rPr>
      </w:pPr>
      <w:r w:rsidRPr="007853BA">
        <w:rPr>
          <w:rFonts w:ascii="Verdana" w:hAnsi="Verdana"/>
          <w:lang w:val="en-US"/>
        </w:rPr>
        <w:t xml:space="preserve">R0110: </w:t>
      </w:r>
      <w:r w:rsidRPr="008620C2">
        <w:rPr>
          <w:rFonts w:ascii="Verdana" w:hAnsi="Verdana"/>
          <w:lang w:val="en-US"/>
        </w:rPr>
        <w:t xml:space="preserve">This is the variation of effects </w:t>
      </w:r>
      <w:r w:rsidR="002460BD" w:rsidRPr="00BB09C7">
        <w:rPr>
          <w:rFonts w:ascii="Verdana" w:hAnsi="Verdana"/>
          <w:color w:val="FF0000"/>
          <w:lang w:val="en-US"/>
        </w:rPr>
        <w:t xml:space="preserve">directly linked to the acceptance of risks </w:t>
      </w:r>
      <w:r w:rsidR="0090642A" w:rsidRPr="00BB09C7">
        <w:rPr>
          <w:rFonts w:ascii="Verdana" w:hAnsi="Verdana"/>
          <w:color w:val="FF0000"/>
          <w:lang w:val="en-US"/>
        </w:rPr>
        <w:t xml:space="preserve">referring to risks covered prior to the period </w:t>
      </w:r>
      <w:r w:rsidRPr="008620C2">
        <w:rPr>
          <w:rFonts w:ascii="Verdana" w:hAnsi="Verdana"/>
          <w:lang w:val="en-US"/>
        </w:rPr>
        <w:t>captured in R0</w:t>
      </w:r>
      <w:r w:rsidR="00485F5A" w:rsidRPr="00BB09C7">
        <w:rPr>
          <w:rFonts w:ascii="Verdana" w:hAnsi="Verdana"/>
          <w:color w:val="FF0000"/>
          <w:lang w:val="en-US"/>
        </w:rPr>
        <w:t>2</w:t>
      </w:r>
      <w:r w:rsidRPr="00BB09C7">
        <w:rPr>
          <w:rFonts w:ascii="Verdana" w:hAnsi="Verdana"/>
          <w:color w:val="FF0000"/>
          <w:lang w:val="en-US"/>
        </w:rPr>
        <w:t>10</w:t>
      </w:r>
      <w:r w:rsidRPr="008620C2">
        <w:rPr>
          <w:rFonts w:ascii="Verdana" w:hAnsi="Verdana"/>
          <w:lang w:val="en-US"/>
        </w:rPr>
        <w:t xml:space="preserve"> up to R0</w:t>
      </w:r>
      <w:r w:rsidRPr="00BB09C7">
        <w:rPr>
          <w:rFonts w:ascii="Verdana" w:hAnsi="Verdana"/>
          <w:color w:val="FF0000"/>
          <w:lang w:val="en-US"/>
        </w:rPr>
        <w:t>2</w:t>
      </w:r>
      <w:r w:rsidR="00485F5A" w:rsidRPr="00BB09C7">
        <w:rPr>
          <w:rFonts w:ascii="Verdana" w:hAnsi="Verdana"/>
          <w:color w:val="FF0000"/>
          <w:lang w:val="en-US"/>
        </w:rPr>
        <w:t>5</w:t>
      </w:r>
      <w:r w:rsidRPr="00BB09C7">
        <w:rPr>
          <w:rFonts w:ascii="Verdana" w:hAnsi="Verdana"/>
          <w:color w:val="FF0000"/>
          <w:lang w:val="en-US"/>
        </w:rPr>
        <w:t>0</w:t>
      </w:r>
      <w:r w:rsidRPr="008620C2">
        <w:rPr>
          <w:rFonts w:ascii="Verdana" w:hAnsi="Verdana"/>
          <w:lang w:val="en-US"/>
        </w:rPr>
        <w:t xml:space="preserve"> in the S.29.03. </w:t>
      </w:r>
    </w:p>
    <w:p w:rsidR="002B7FB1" w:rsidRPr="007853BA" w:rsidRDefault="002B7FB1" w:rsidP="002B7FB1">
      <w:pPr>
        <w:jc w:val="both"/>
        <w:rPr>
          <w:rFonts w:ascii="Verdana" w:hAnsi="Verdana"/>
          <w:lang w:val="en-US"/>
        </w:rPr>
      </w:pPr>
      <w:r w:rsidRPr="007853BA">
        <w:rPr>
          <w:rFonts w:ascii="Verdana" w:hAnsi="Verdana"/>
          <w:lang w:val="en-US"/>
        </w:rPr>
        <w:t>R</w:t>
      </w:r>
      <w:r w:rsidRPr="008620C2">
        <w:rPr>
          <w:rFonts w:ascii="Verdana" w:hAnsi="Verdana"/>
          <w:lang w:val="en-US"/>
        </w:rPr>
        <w:t xml:space="preserve">0140: Note that the amount reported in S.29.03/R0360 and S.29.04/R0140 should be the same with </w:t>
      </w:r>
      <w:r w:rsidR="00EA393A">
        <w:rPr>
          <w:rFonts w:ascii="Verdana" w:hAnsi="Verdana"/>
          <w:lang w:val="en-US"/>
        </w:rPr>
        <w:t>same</w:t>
      </w:r>
      <w:r w:rsidR="00EA393A" w:rsidRPr="008620C2">
        <w:rPr>
          <w:rFonts w:ascii="Verdana" w:hAnsi="Verdana"/>
          <w:lang w:val="en-US"/>
        </w:rPr>
        <w:t xml:space="preserve"> </w:t>
      </w:r>
      <w:r w:rsidRPr="008620C2">
        <w:rPr>
          <w:rFonts w:ascii="Verdana" w:hAnsi="Verdana"/>
          <w:lang w:val="en-US"/>
        </w:rPr>
        <w:t xml:space="preserve">signs (this can only hold if either analysis is performed on a segment/LOB basis and if there are no unexplained changes in R0260 in S.29.03). </w:t>
      </w:r>
    </w:p>
    <w:p w:rsidR="004174AF" w:rsidRDefault="004174AF" w:rsidP="00533F22">
      <w:pPr>
        <w:jc w:val="both"/>
        <w:rPr>
          <w:rFonts w:ascii="Verdana" w:hAnsi="Verdana"/>
          <w:lang w:val="en-US"/>
        </w:rPr>
      </w:pPr>
    </w:p>
    <w:p w:rsidR="00D14F12" w:rsidRDefault="00D14F12">
      <w:pPr>
        <w:rPr>
          <w:rFonts w:ascii="Verdana" w:eastAsiaTheme="majorEastAsia" w:hAnsi="Verdana" w:cstheme="majorBidi"/>
          <w:b/>
          <w:bCs/>
          <w:color w:val="365F91" w:themeColor="accent1" w:themeShade="BF"/>
          <w:lang w:val="en-US"/>
        </w:rPr>
      </w:pPr>
      <w:r>
        <w:rPr>
          <w:rFonts w:ascii="Verdana" w:hAnsi="Verdana"/>
          <w:lang w:val="en-US"/>
        </w:rPr>
        <w:br w:type="page"/>
      </w:r>
    </w:p>
    <w:p w:rsidR="00D26C11" w:rsidRPr="007853BA" w:rsidRDefault="00D26C11" w:rsidP="00D26C11">
      <w:pPr>
        <w:pStyle w:val="Heading1"/>
        <w:rPr>
          <w:rFonts w:ascii="Verdana" w:hAnsi="Verdana"/>
          <w:sz w:val="22"/>
          <w:lang w:val="en-US"/>
        </w:rPr>
      </w:pPr>
      <w:r w:rsidRPr="007853BA">
        <w:rPr>
          <w:rFonts w:ascii="Verdana" w:hAnsi="Verdana"/>
          <w:sz w:val="22"/>
          <w:lang w:val="en-US"/>
        </w:rPr>
        <w:t xml:space="preserve">Case </w:t>
      </w:r>
      <w:r w:rsidR="00BA321A" w:rsidRPr="008620C2">
        <w:rPr>
          <w:rFonts w:ascii="Verdana" w:hAnsi="Verdana"/>
          <w:sz w:val="22"/>
          <w:lang w:val="en-US"/>
        </w:rPr>
        <w:t>4A - Claim provision run-off with FX (current FX rate at valuation date)</w:t>
      </w:r>
    </w:p>
    <w:p w:rsidR="007256B0" w:rsidRPr="007256B0" w:rsidRDefault="007256B0" w:rsidP="007256B0">
      <w:pPr>
        <w:rPr>
          <w:lang w:val="en-US"/>
        </w:rPr>
      </w:pPr>
      <w:r w:rsidRPr="00BA321A">
        <w:rPr>
          <w:noProof/>
          <w:lang w:val="en-GB" w:eastAsia="en-GB"/>
        </w:rPr>
        <w:drawing>
          <wp:inline distT="0" distB="0" distL="0" distR="0" wp14:anchorId="2959BCA7" wp14:editId="72A71CD8">
            <wp:extent cx="4043680" cy="5295458"/>
            <wp:effectExtent l="0" t="0" r="0" b="63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4046340" cy="5298941"/>
                    </a:xfrm>
                    <a:prstGeom prst="rect">
                      <a:avLst/>
                    </a:prstGeom>
                    <a:noFill/>
                    <a:ln>
                      <a:noFill/>
                    </a:ln>
                  </pic:spPr>
                </pic:pic>
              </a:graphicData>
            </a:graphic>
          </wp:inline>
        </w:drawing>
      </w:r>
    </w:p>
    <w:p w:rsidR="005F48F5" w:rsidRPr="007853BA" w:rsidRDefault="00160294" w:rsidP="005F48F5">
      <w:pPr>
        <w:rPr>
          <w:rFonts w:ascii="Verdana" w:hAnsi="Verdana"/>
          <w:lang w:val="en-US"/>
        </w:rPr>
      </w:pPr>
      <w:r w:rsidRPr="00160294">
        <w:rPr>
          <w:noProof/>
          <w:lang w:val="en-GB" w:eastAsia="en-GB"/>
        </w:rPr>
        <w:drawing>
          <wp:inline distT="0" distB="0" distL="0" distR="0" wp14:anchorId="230BE925" wp14:editId="615A40C8">
            <wp:extent cx="5760720" cy="6489297"/>
            <wp:effectExtent l="0" t="0" r="0" b="698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760720" cy="6489297"/>
                    </a:xfrm>
                    <a:prstGeom prst="rect">
                      <a:avLst/>
                    </a:prstGeom>
                    <a:noFill/>
                    <a:ln>
                      <a:noFill/>
                    </a:ln>
                  </pic:spPr>
                </pic:pic>
              </a:graphicData>
            </a:graphic>
          </wp:inline>
        </w:drawing>
      </w:r>
      <w:r w:rsidR="005F48F5" w:rsidRPr="007853BA">
        <w:rPr>
          <w:rFonts w:ascii="Verdana" w:hAnsi="Verdana"/>
          <w:lang w:val="en-US"/>
        </w:rPr>
        <w:t>Notes/explanations:</w:t>
      </w:r>
    </w:p>
    <w:p w:rsidR="005F48F5" w:rsidRPr="007853BA" w:rsidRDefault="005F48F5" w:rsidP="005F48F5">
      <w:pPr>
        <w:rPr>
          <w:rFonts w:ascii="Verdana" w:hAnsi="Verdana"/>
          <w:b/>
          <w:lang w:val="en-US"/>
        </w:rPr>
      </w:pPr>
      <w:r w:rsidRPr="007853BA">
        <w:rPr>
          <w:rFonts w:ascii="Verdana" w:hAnsi="Verdana"/>
          <w:b/>
          <w:lang w:val="en-US"/>
        </w:rPr>
        <w:t>S.29.03</w:t>
      </w:r>
    </w:p>
    <w:p w:rsidR="00507600" w:rsidRPr="007853BA" w:rsidRDefault="00507600" w:rsidP="005F48F5">
      <w:pPr>
        <w:rPr>
          <w:rFonts w:ascii="Verdana" w:hAnsi="Verdana"/>
          <w:lang w:val="en-US"/>
        </w:rPr>
      </w:pPr>
      <w:r w:rsidRPr="007853BA">
        <w:rPr>
          <w:rFonts w:ascii="Verdana" w:hAnsi="Verdana"/>
          <w:lang w:val="en-US"/>
        </w:rPr>
        <w:t xml:space="preserve">R0150: </w:t>
      </w:r>
      <w:r w:rsidRPr="008620C2">
        <w:rPr>
          <w:rFonts w:ascii="Verdana" w:hAnsi="Verdana"/>
          <w:lang w:val="en-US"/>
        </w:rPr>
        <w:t>according to the LOG the order is not prescriptive so undertaking may decide to do the foreign exchange variation at the end, and not reflect it in the opening BE</w:t>
      </w:r>
    </w:p>
    <w:p w:rsidR="005F48F5" w:rsidRPr="007853BA" w:rsidRDefault="005F48F5" w:rsidP="005F48F5">
      <w:pPr>
        <w:rPr>
          <w:rFonts w:ascii="Verdana" w:hAnsi="Verdana"/>
          <w:lang w:val="en-US"/>
        </w:rPr>
      </w:pPr>
      <w:r w:rsidRPr="007853BA">
        <w:rPr>
          <w:rFonts w:ascii="Verdana" w:hAnsi="Verdana"/>
          <w:lang w:val="en-US"/>
        </w:rPr>
        <w:t>R0180: reflect the impact of the exchange rate</w:t>
      </w:r>
    </w:p>
    <w:p w:rsidR="005F48F5" w:rsidRPr="007853BA" w:rsidRDefault="005F48F5" w:rsidP="005F48F5">
      <w:pPr>
        <w:rPr>
          <w:rFonts w:ascii="Verdana" w:hAnsi="Verdana"/>
          <w:lang w:val="en-US"/>
        </w:rPr>
      </w:pPr>
      <w:r w:rsidRPr="007853BA">
        <w:rPr>
          <w:rFonts w:ascii="Verdana" w:hAnsi="Verdana"/>
          <w:lang w:val="en-US"/>
        </w:rPr>
        <w:t>TP@t=0(FX @t=1)-TP@t=0(FX@t=0)</w:t>
      </w:r>
    </w:p>
    <w:p w:rsidR="005F48F5" w:rsidRPr="007853BA" w:rsidRDefault="005F48F5" w:rsidP="005F48F5">
      <w:pPr>
        <w:rPr>
          <w:rFonts w:ascii="Verdana" w:hAnsi="Verdana"/>
          <w:lang w:val="en-US"/>
        </w:rPr>
      </w:pPr>
      <w:r w:rsidRPr="007853BA">
        <w:rPr>
          <w:rFonts w:ascii="Verdana" w:hAnsi="Verdana"/>
          <w:lang w:val="en-US"/>
        </w:rPr>
        <w:t>R0220: minus the estimated CF projected for the year that is finishing converted into euros</w:t>
      </w:r>
    </w:p>
    <w:p w:rsidR="005F48F5" w:rsidRPr="007853BA" w:rsidRDefault="005F48F5" w:rsidP="005F48F5">
      <w:pPr>
        <w:rPr>
          <w:rFonts w:ascii="Verdana" w:hAnsi="Verdana"/>
          <w:lang w:val="en-US"/>
        </w:rPr>
      </w:pPr>
      <w:r w:rsidRPr="007853BA">
        <w:rPr>
          <w:rFonts w:ascii="Verdana" w:hAnsi="Verdana"/>
          <w:lang w:val="en-US"/>
        </w:rPr>
        <w:t xml:space="preserve">R0320: reflects the amount </w:t>
      </w:r>
      <w:r w:rsidR="009E43DE">
        <w:rPr>
          <w:rFonts w:ascii="Verdana" w:hAnsi="Verdana"/>
          <w:lang w:val="en-US"/>
        </w:rPr>
        <w:t>settled</w:t>
      </w:r>
      <w:r w:rsidR="009E43DE" w:rsidRPr="007853BA">
        <w:rPr>
          <w:rFonts w:ascii="Verdana" w:hAnsi="Verdana"/>
          <w:lang w:val="en-US"/>
        </w:rPr>
        <w:t xml:space="preserve"> </w:t>
      </w:r>
      <w:r w:rsidRPr="007853BA">
        <w:rPr>
          <w:rFonts w:ascii="Verdana" w:hAnsi="Verdana"/>
          <w:lang w:val="en-US"/>
        </w:rPr>
        <w:t>during the repo</w:t>
      </w:r>
      <w:r w:rsidRPr="008620C2">
        <w:rPr>
          <w:rFonts w:ascii="Verdana" w:hAnsi="Verdana"/>
          <w:lang w:val="en-US"/>
        </w:rPr>
        <w:t>rting period converted into euros</w:t>
      </w:r>
    </w:p>
    <w:p w:rsidR="005F48F5" w:rsidRPr="007853BA" w:rsidRDefault="005F48F5" w:rsidP="005F48F5">
      <w:pPr>
        <w:jc w:val="both"/>
        <w:rPr>
          <w:rFonts w:ascii="Verdana" w:hAnsi="Verdana"/>
          <w:lang w:val="en-US"/>
        </w:rPr>
      </w:pPr>
      <w:r w:rsidRPr="007853BA">
        <w:rPr>
          <w:rFonts w:ascii="Verdana" w:hAnsi="Verdana"/>
          <w:lang w:val="en-US"/>
        </w:rPr>
        <w:t>R0360: Reflects the full impact in the EoAoL, i.e. the variation in the best estimate (70) and the impact of the technical flows (-56), summing 14.</w:t>
      </w:r>
    </w:p>
    <w:p w:rsidR="007C4C91" w:rsidRDefault="00367A2D" w:rsidP="005F48F5">
      <w:pPr>
        <w:rPr>
          <w:rFonts w:ascii="Verdana" w:hAnsi="Verdana"/>
          <w:lang w:val="en-US"/>
        </w:rPr>
      </w:pPr>
      <w:r w:rsidRPr="00367A2D">
        <w:rPr>
          <w:rFonts w:ascii="Verdana" w:hAnsi="Verdana"/>
          <w:lang w:val="en-US"/>
        </w:rPr>
        <w:t xml:space="preserve"> </w:t>
      </w:r>
      <w:r w:rsidRPr="00367A2D">
        <w:rPr>
          <w:noProof/>
          <w:lang w:val="en-GB" w:eastAsia="en-GB"/>
        </w:rPr>
        <w:drawing>
          <wp:inline distT="0" distB="0" distL="0" distR="0" wp14:anchorId="347F46BD" wp14:editId="4C0BABFC">
            <wp:extent cx="5760720" cy="1628497"/>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760720" cy="1628497"/>
                    </a:xfrm>
                    <a:prstGeom prst="rect">
                      <a:avLst/>
                    </a:prstGeom>
                    <a:noFill/>
                    <a:ln>
                      <a:noFill/>
                    </a:ln>
                  </pic:spPr>
                </pic:pic>
              </a:graphicData>
            </a:graphic>
          </wp:inline>
        </w:drawing>
      </w:r>
    </w:p>
    <w:p w:rsidR="005F48F5" w:rsidRPr="007853BA" w:rsidRDefault="005F48F5" w:rsidP="005F48F5">
      <w:pPr>
        <w:rPr>
          <w:rFonts w:ascii="Verdana" w:hAnsi="Verdana"/>
          <w:lang w:val="en-US"/>
        </w:rPr>
      </w:pPr>
      <w:r w:rsidRPr="007853BA">
        <w:rPr>
          <w:rFonts w:ascii="Verdana" w:hAnsi="Verdana"/>
          <w:lang w:val="en-US"/>
        </w:rPr>
        <w:t>Notes/explanations:</w:t>
      </w:r>
    </w:p>
    <w:p w:rsidR="005F48F5" w:rsidRPr="007853BA" w:rsidRDefault="005F48F5" w:rsidP="005F48F5">
      <w:pPr>
        <w:rPr>
          <w:rFonts w:ascii="Verdana" w:hAnsi="Verdana"/>
          <w:b/>
          <w:lang w:val="en-US"/>
        </w:rPr>
      </w:pPr>
      <w:r w:rsidRPr="007853BA">
        <w:rPr>
          <w:rFonts w:ascii="Verdana" w:hAnsi="Verdana"/>
          <w:b/>
          <w:lang w:val="en-US"/>
        </w:rPr>
        <w:t>S.29.04</w:t>
      </w:r>
    </w:p>
    <w:p w:rsidR="005F48F5" w:rsidRPr="007853BA" w:rsidRDefault="005F48F5" w:rsidP="005F48F5">
      <w:pPr>
        <w:rPr>
          <w:rFonts w:ascii="Verdana" w:hAnsi="Verdana"/>
          <w:lang w:val="en-US"/>
        </w:rPr>
      </w:pPr>
      <w:r w:rsidRPr="007853BA">
        <w:rPr>
          <w:rFonts w:ascii="Verdana" w:hAnsi="Verdana"/>
          <w:lang w:val="en-US"/>
        </w:rPr>
        <w:t xml:space="preserve">R0090: reflects the amount </w:t>
      </w:r>
      <w:r w:rsidR="009E43DE">
        <w:rPr>
          <w:rFonts w:ascii="Verdana" w:hAnsi="Verdana"/>
          <w:lang w:val="en-US"/>
        </w:rPr>
        <w:t>settled</w:t>
      </w:r>
      <w:r w:rsidR="009E43DE" w:rsidRPr="007853BA">
        <w:rPr>
          <w:rFonts w:ascii="Verdana" w:hAnsi="Verdana"/>
          <w:lang w:val="en-US"/>
        </w:rPr>
        <w:t xml:space="preserve"> </w:t>
      </w:r>
      <w:r w:rsidRPr="007853BA">
        <w:rPr>
          <w:rFonts w:ascii="Verdana" w:hAnsi="Verdana"/>
          <w:lang w:val="en-US"/>
        </w:rPr>
        <w:t>du</w:t>
      </w:r>
      <w:r w:rsidRPr="008620C2">
        <w:rPr>
          <w:rFonts w:ascii="Verdana" w:hAnsi="Verdana"/>
          <w:lang w:val="en-US"/>
        </w:rPr>
        <w:t>ring the reporting period converted into euros</w:t>
      </w:r>
    </w:p>
    <w:p w:rsidR="00367A2D" w:rsidRDefault="005F48F5" w:rsidP="00367A2D">
      <w:pPr>
        <w:jc w:val="both"/>
        <w:rPr>
          <w:rFonts w:ascii="Verdana" w:hAnsi="Verdana"/>
          <w:lang w:val="en-US"/>
        </w:rPr>
      </w:pPr>
      <w:r w:rsidRPr="007853BA">
        <w:rPr>
          <w:rFonts w:ascii="Verdana" w:hAnsi="Verdana"/>
          <w:lang w:val="en-US"/>
        </w:rPr>
        <w:t xml:space="preserve">R0110: </w:t>
      </w:r>
      <w:r w:rsidRPr="008620C2">
        <w:rPr>
          <w:rFonts w:ascii="Verdana" w:hAnsi="Verdana"/>
          <w:lang w:val="en-US"/>
        </w:rPr>
        <w:t xml:space="preserve">This is the variation effects </w:t>
      </w:r>
      <w:r w:rsidR="00367A2D" w:rsidRPr="00BB09C7">
        <w:rPr>
          <w:rFonts w:ascii="Verdana" w:hAnsi="Verdana"/>
          <w:color w:val="FF0000"/>
          <w:lang w:val="en-US"/>
        </w:rPr>
        <w:t xml:space="preserve">directly linked to the acceptance of risks </w:t>
      </w:r>
      <w:r w:rsidR="0090642A" w:rsidRPr="00BB09C7">
        <w:rPr>
          <w:rFonts w:ascii="Verdana" w:hAnsi="Verdana"/>
          <w:color w:val="FF0000"/>
          <w:lang w:val="en-US"/>
        </w:rPr>
        <w:t xml:space="preserve">referring to risks covered prior to the period </w:t>
      </w:r>
      <w:r w:rsidRPr="008620C2">
        <w:rPr>
          <w:rFonts w:ascii="Verdana" w:hAnsi="Verdana"/>
          <w:lang w:val="en-US"/>
        </w:rPr>
        <w:t>captured in R0</w:t>
      </w:r>
      <w:r w:rsidR="00367A2D" w:rsidRPr="00BB09C7">
        <w:rPr>
          <w:rFonts w:ascii="Verdana" w:hAnsi="Verdana"/>
          <w:color w:val="FF0000"/>
          <w:lang w:val="en-US"/>
        </w:rPr>
        <w:t>21</w:t>
      </w:r>
      <w:r w:rsidRPr="00BB09C7">
        <w:rPr>
          <w:rFonts w:ascii="Verdana" w:hAnsi="Verdana"/>
          <w:color w:val="FF0000"/>
          <w:lang w:val="en-US"/>
        </w:rPr>
        <w:t>0</w:t>
      </w:r>
      <w:r w:rsidRPr="008620C2">
        <w:rPr>
          <w:rFonts w:ascii="Verdana" w:hAnsi="Verdana"/>
          <w:lang w:val="en-US"/>
        </w:rPr>
        <w:t xml:space="preserve"> up to R0</w:t>
      </w:r>
      <w:r w:rsidRPr="00BB09C7">
        <w:rPr>
          <w:rFonts w:ascii="Verdana" w:hAnsi="Verdana"/>
          <w:color w:val="FF0000"/>
          <w:lang w:val="en-US"/>
        </w:rPr>
        <w:t>2</w:t>
      </w:r>
      <w:r w:rsidR="00367A2D" w:rsidRPr="00BB09C7">
        <w:rPr>
          <w:rFonts w:ascii="Verdana" w:hAnsi="Verdana"/>
          <w:color w:val="FF0000"/>
          <w:lang w:val="en-US"/>
        </w:rPr>
        <w:t>5</w:t>
      </w:r>
      <w:r w:rsidRPr="00BB09C7">
        <w:rPr>
          <w:rFonts w:ascii="Verdana" w:hAnsi="Verdana"/>
          <w:color w:val="FF0000"/>
          <w:lang w:val="en-US"/>
        </w:rPr>
        <w:t>0</w:t>
      </w:r>
      <w:r w:rsidRPr="008620C2">
        <w:rPr>
          <w:rFonts w:ascii="Verdana" w:hAnsi="Verdana"/>
          <w:lang w:val="en-US"/>
        </w:rPr>
        <w:t xml:space="preserve"> in the S.29.03, i.e. </w:t>
      </w:r>
      <w:r w:rsidRPr="00BB09C7">
        <w:rPr>
          <w:rFonts w:ascii="Verdana" w:hAnsi="Verdana"/>
          <w:color w:val="FF0000"/>
          <w:lang w:val="en-US"/>
        </w:rPr>
        <w:t>-</w:t>
      </w:r>
      <w:r w:rsidR="00367A2D" w:rsidRPr="00BB09C7">
        <w:rPr>
          <w:rFonts w:ascii="Verdana" w:hAnsi="Verdana"/>
          <w:color w:val="FF0000"/>
          <w:lang w:val="en-US"/>
        </w:rPr>
        <w:t>56</w:t>
      </w:r>
      <w:r w:rsidRPr="00BB09C7">
        <w:rPr>
          <w:rFonts w:ascii="Verdana" w:hAnsi="Verdana"/>
          <w:color w:val="FF0000"/>
          <w:lang w:val="en-US"/>
        </w:rPr>
        <w:t>.</w:t>
      </w:r>
      <w:r w:rsidR="00367A2D" w:rsidRPr="00BB09C7">
        <w:rPr>
          <w:rFonts w:ascii="Verdana" w:hAnsi="Verdana"/>
          <w:color w:val="FF0000"/>
          <w:lang w:val="en-US"/>
        </w:rPr>
        <w:t xml:space="preserve"> Please note para. 1.57 (the variation triggered for example by changes in perimeter or foreign exchange variation should not be reported in S.29.04. This means that this cells do not reflect the total variation of the best estimate.)</w:t>
      </w:r>
    </w:p>
    <w:p w:rsidR="005F48F5" w:rsidRPr="007853BA" w:rsidRDefault="005F48F5" w:rsidP="007853BA">
      <w:pPr>
        <w:jc w:val="both"/>
        <w:rPr>
          <w:rFonts w:ascii="Verdana" w:hAnsi="Verdana"/>
          <w:lang w:val="en-US"/>
        </w:rPr>
      </w:pPr>
      <w:r w:rsidRPr="007853BA">
        <w:rPr>
          <w:rFonts w:ascii="Verdana" w:hAnsi="Verdana"/>
          <w:lang w:val="en-US"/>
        </w:rPr>
        <w:t xml:space="preserve">R0140: </w:t>
      </w:r>
      <w:r w:rsidRPr="008620C2">
        <w:rPr>
          <w:rFonts w:ascii="Verdana" w:hAnsi="Verdana"/>
          <w:lang w:val="en-US"/>
        </w:rPr>
        <w:t xml:space="preserve">Note that the amount reported in S.29.03/R0360 and S.29.04/R0140 </w:t>
      </w:r>
      <w:r w:rsidRPr="00EA393A">
        <w:rPr>
          <w:rFonts w:ascii="Verdana" w:hAnsi="Verdana"/>
          <w:lang w:val="en-US"/>
        </w:rPr>
        <w:t xml:space="preserve">should be the same with </w:t>
      </w:r>
      <w:r w:rsidR="00EA393A">
        <w:rPr>
          <w:rFonts w:ascii="Verdana" w:hAnsi="Verdana"/>
          <w:lang w:val="en-US"/>
        </w:rPr>
        <w:t>same</w:t>
      </w:r>
      <w:r w:rsidR="00EA393A" w:rsidRPr="00EA393A">
        <w:rPr>
          <w:rFonts w:ascii="Verdana" w:hAnsi="Verdana"/>
          <w:lang w:val="en-US"/>
        </w:rPr>
        <w:t xml:space="preserve"> </w:t>
      </w:r>
      <w:r w:rsidRPr="00EA393A">
        <w:rPr>
          <w:rFonts w:ascii="Verdana" w:hAnsi="Verdana"/>
          <w:lang w:val="en-US"/>
        </w:rPr>
        <w:t>signs</w:t>
      </w:r>
      <w:r w:rsidRPr="008620C2">
        <w:rPr>
          <w:rFonts w:ascii="Verdana" w:hAnsi="Verdana"/>
          <w:lang w:val="en-US"/>
        </w:rPr>
        <w:t xml:space="preserve"> (this can only hold if either analysis is performed on a segment/LOB basis and if there are no unexplained changes in R0260 in S.29.03).</w:t>
      </w:r>
    </w:p>
    <w:p w:rsidR="005F48F5" w:rsidRDefault="005F48F5" w:rsidP="005F48F5">
      <w:pPr>
        <w:jc w:val="both"/>
        <w:rPr>
          <w:rFonts w:ascii="Verdana" w:hAnsi="Verdana"/>
          <w:lang w:val="en-US"/>
        </w:rPr>
      </w:pPr>
    </w:p>
    <w:p w:rsidR="00D14F12" w:rsidRDefault="00D14F12">
      <w:pPr>
        <w:rPr>
          <w:rFonts w:ascii="Verdana" w:eastAsiaTheme="majorEastAsia" w:hAnsi="Verdana" w:cstheme="majorBidi"/>
          <w:b/>
          <w:bCs/>
          <w:color w:val="365F91" w:themeColor="accent1" w:themeShade="BF"/>
          <w:lang w:val="en-US"/>
        </w:rPr>
      </w:pPr>
      <w:r>
        <w:rPr>
          <w:rFonts w:ascii="Verdana" w:hAnsi="Verdana"/>
          <w:lang w:val="en-US"/>
        </w:rPr>
        <w:br w:type="page"/>
      </w:r>
    </w:p>
    <w:p w:rsidR="00EB4D21" w:rsidRPr="007853BA" w:rsidRDefault="00A53895" w:rsidP="00511084">
      <w:pPr>
        <w:pStyle w:val="Heading1"/>
        <w:rPr>
          <w:rFonts w:ascii="Verdana" w:hAnsi="Verdana"/>
          <w:sz w:val="22"/>
          <w:lang w:val="en-US"/>
        </w:rPr>
      </w:pPr>
      <w:r w:rsidRPr="007853BA">
        <w:rPr>
          <w:rFonts w:ascii="Verdana" w:hAnsi="Verdana"/>
          <w:sz w:val="22"/>
          <w:lang w:val="en-US"/>
        </w:rPr>
        <w:t xml:space="preserve">Case </w:t>
      </w:r>
      <w:r w:rsidRPr="008620C2">
        <w:rPr>
          <w:rFonts w:ascii="Verdana" w:hAnsi="Verdana"/>
          <w:sz w:val="22"/>
          <w:lang w:val="en-US"/>
        </w:rPr>
        <w:t>4B - Claim provision run-off with FX (average FX rate during period)</w:t>
      </w:r>
    </w:p>
    <w:p w:rsidR="00A53895" w:rsidRPr="007853BA" w:rsidRDefault="007256B0" w:rsidP="008E1EBA">
      <w:pPr>
        <w:rPr>
          <w:rFonts w:ascii="Verdana" w:hAnsi="Verdana"/>
          <w:lang w:val="en-US"/>
        </w:rPr>
      </w:pPr>
      <w:r w:rsidRPr="007256B0">
        <w:rPr>
          <w:noProof/>
          <w:lang w:val="en-GB" w:eastAsia="en-GB"/>
        </w:rPr>
        <w:drawing>
          <wp:inline distT="0" distB="0" distL="0" distR="0" wp14:anchorId="60E32A62" wp14:editId="11932603">
            <wp:extent cx="5003881" cy="5522976"/>
            <wp:effectExtent l="0" t="0" r="6350" b="190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007060" cy="5526485"/>
                    </a:xfrm>
                    <a:prstGeom prst="rect">
                      <a:avLst/>
                    </a:prstGeom>
                    <a:noFill/>
                    <a:ln>
                      <a:noFill/>
                    </a:ln>
                  </pic:spPr>
                </pic:pic>
              </a:graphicData>
            </a:graphic>
          </wp:inline>
        </w:drawing>
      </w:r>
    </w:p>
    <w:p w:rsidR="007256B0" w:rsidRDefault="00160294" w:rsidP="007256B0">
      <w:pPr>
        <w:rPr>
          <w:rFonts w:ascii="Verdana" w:hAnsi="Verdana"/>
          <w:lang w:val="en-US"/>
        </w:rPr>
      </w:pPr>
      <w:r w:rsidRPr="00160294">
        <w:rPr>
          <w:noProof/>
          <w:lang w:val="en-GB" w:eastAsia="en-GB"/>
        </w:rPr>
        <w:drawing>
          <wp:inline distT="0" distB="0" distL="0" distR="0" wp14:anchorId="556744D4" wp14:editId="6BA0B684">
            <wp:extent cx="5760720" cy="6489297"/>
            <wp:effectExtent l="0" t="0" r="0" b="6985"/>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760720" cy="6489297"/>
                    </a:xfrm>
                    <a:prstGeom prst="rect">
                      <a:avLst/>
                    </a:prstGeom>
                    <a:noFill/>
                    <a:ln>
                      <a:noFill/>
                    </a:ln>
                  </pic:spPr>
                </pic:pic>
              </a:graphicData>
            </a:graphic>
          </wp:inline>
        </w:drawing>
      </w:r>
    </w:p>
    <w:p w:rsidR="007256B0" w:rsidRPr="007853BA" w:rsidRDefault="007256B0" w:rsidP="007256B0">
      <w:pPr>
        <w:rPr>
          <w:rFonts w:ascii="Verdana" w:hAnsi="Verdana"/>
          <w:lang w:val="en-US"/>
        </w:rPr>
      </w:pPr>
      <w:r w:rsidRPr="007853BA">
        <w:rPr>
          <w:rFonts w:ascii="Verdana" w:hAnsi="Verdana"/>
          <w:lang w:val="en-US"/>
        </w:rPr>
        <w:t>Notes/explanations:</w:t>
      </w:r>
    </w:p>
    <w:p w:rsidR="007256B0" w:rsidRPr="007853BA" w:rsidRDefault="007256B0" w:rsidP="007256B0">
      <w:pPr>
        <w:rPr>
          <w:rFonts w:ascii="Verdana" w:hAnsi="Verdana"/>
          <w:b/>
          <w:lang w:val="en-US"/>
        </w:rPr>
      </w:pPr>
      <w:r w:rsidRPr="007853BA">
        <w:rPr>
          <w:rFonts w:ascii="Verdana" w:hAnsi="Verdana"/>
          <w:b/>
          <w:lang w:val="en-US"/>
        </w:rPr>
        <w:t>S.29.03</w:t>
      </w:r>
    </w:p>
    <w:p w:rsidR="007256B0" w:rsidRPr="007853BA" w:rsidRDefault="007256B0" w:rsidP="007256B0">
      <w:pPr>
        <w:rPr>
          <w:rFonts w:ascii="Verdana" w:hAnsi="Verdana"/>
          <w:lang w:val="en-US"/>
        </w:rPr>
      </w:pPr>
      <w:r w:rsidRPr="007853BA">
        <w:rPr>
          <w:rFonts w:ascii="Verdana" w:hAnsi="Verdana"/>
          <w:lang w:val="en-US"/>
        </w:rPr>
        <w:t>R0180: reflect the impact of the exchange rate</w:t>
      </w:r>
    </w:p>
    <w:p w:rsidR="007256B0" w:rsidRPr="007853BA" w:rsidRDefault="007256B0" w:rsidP="007256B0">
      <w:pPr>
        <w:rPr>
          <w:rFonts w:ascii="Verdana" w:hAnsi="Verdana"/>
          <w:lang w:val="en-US"/>
        </w:rPr>
      </w:pPr>
      <w:r w:rsidRPr="007853BA">
        <w:rPr>
          <w:rFonts w:ascii="Verdana" w:hAnsi="Verdana"/>
          <w:lang w:val="en-US"/>
        </w:rPr>
        <w:t>TP@t=0(FX @t=1)-TP@t=0(FX@t=0)</w:t>
      </w:r>
      <w:r w:rsidRPr="008620C2">
        <w:rPr>
          <w:rFonts w:ascii="Verdana" w:hAnsi="Verdana"/>
          <w:lang w:val="en-US"/>
        </w:rPr>
        <w:t xml:space="preserve"> but using an average exchange rate</w:t>
      </w:r>
    </w:p>
    <w:p w:rsidR="007256B0" w:rsidRPr="007853BA" w:rsidRDefault="007256B0" w:rsidP="007256B0">
      <w:pPr>
        <w:rPr>
          <w:rFonts w:ascii="Verdana" w:hAnsi="Verdana"/>
          <w:lang w:val="en-US"/>
        </w:rPr>
      </w:pPr>
      <w:r w:rsidRPr="007853BA">
        <w:rPr>
          <w:rFonts w:ascii="Verdana" w:hAnsi="Verdana"/>
          <w:lang w:val="en-US"/>
        </w:rPr>
        <w:t>R0220: minus the estimated CF projected for the year that is finishing converted into euros</w:t>
      </w:r>
    </w:p>
    <w:p w:rsidR="007256B0" w:rsidRPr="007853BA" w:rsidRDefault="007256B0" w:rsidP="007256B0">
      <w:pPr>
        <w:rPr>
          <w:rFonts w:ascii="Verdana" w:hAnsi="Verdana"/>
          <w:lang w:val="en-US"/>
        </w:rPr>
      </w:pPr>
      <w:r w:rsidRPr="007853BA">
        <w:rPr>
          <w:rFonts w:ascii="Verdana" w:hAnsi="Verdana"/>
          <w:lang w:val="en-US"/>
        </w:rPr>
        <w:t>R0260: t</w:t>
      </w:r>
      <w:r w:rsidRPr="008620C2">
        <w:rPr>
          <w:rFonts w:ascii="Verdana" w:hAnsi="Verdana"/>
          <w:lang w:val="en-US"/>
        </w:rPr>
        <w:t>he application of an average exchange rate leads to unexplained</w:t>
      </w:r>
      <w:r w:rsidR="00D25335">
        <w:rPr>
          <w:rFonts w:ascii="Verdana" w:hAnsi="Verdana"/>
          <w:lang w:val="en-US"/>
        </w:rPr>
        <w:t xml:space="preserve"> changes</w:t>
      </w:r>
      <w:r w:rsidRPr="008620C2">
        <w:rPr>
          <w:rFonts w:ascii="Verdana" w:hAnsi="Verdana"/>
          <w:lang w:val="en-US"/>
        </w:rPr>
        <w:t xml:space="preserve"> in previous rows effects</w:t>
      </w:r>
    </w:p>
    <w:p w:rsidR="007256B0" w:rsidRPr="007853BA" w:rsidRDefault="007256B0" w:rsidP="007256B0">
      <w:pPr>
        <w:rPr>
          <w:rFonts w:ascii="Verdana" w:hAnsi="Verdana"/>
          <w:lang w:val="en-US"/>
        </w:rPr>
      </w:pPr>
      <w:r w:rsidRPr="007853BA">
        <w:rPr>
          <w:rFonts w:ascii="Verdana" w:hAnsi="Verdana"/>
          <w:lang w:val="en-US"/>
        </w:rPr>
        <w:t xml:space="preserve">R0320: reflects the amount </w:t>
      </w:r>
      <w:r w:rsidR="00D3252A">
        <w:rPr>
          <w:rFonts w:ascii="Verdana" w:hAnsi="Verdana"/>
          <w:lang w:val="en-US"/>
        </w:rPr>
        <w:t>settled</w:t>
      </w:r>
      <w:r w:rsidR="00D3252A" w:rsidRPr="007853BA">
        <w:rPr>
          <w:rFonts w:ascii="Verdana" w:hAnsi="Verdana"/>
          <w:lang w:val="en-US"/>
        </w:rPr>
        <w:t xml:space="preserve"> </w:t>
      </w:r>
      <w:r w:rsidRPr="007853BA">
        <w:rPr>
          <w:rFonts w:ascii="Verdana" w:hAnsi="Verdana"/>
          <w:lang w:val="en-US"/>
        </w:rPr>
        <w:t>during the reporting period converted into euros</w:t>
      </w:r>
    </w:p>
    <w:p w:rsidR="007256B0" w:rsidRPr="007853BA" w:rsidRDefault="007256B0" w:rsidP="007256B0">
      <w:pPr>
        <w:jc w:val="both"/>
        <w:rPr>
          <w:rFonts w:ascii="Verdana" w:hAnsi="Verdana"/>
          <w:lang w:val="en-US"/>
        </w:rPr>
      </w:pPr>
      <w:r w:rsidRPr="007853BA">
        <w:rPr>
          <w:rFonts w:ascii="Verdana" w:hAnsi="Verdana"/>
          <w:lang w:val="en-US"/>
        </w:rPr>
        <w:t xml:space="preserve">R0360: Reflects the full impact in the EoAoL, i.e. the variation in the best estimate (70) </w:t>
      </w:r>
      <w:r w:rsidRPr="008620C2">
        <w:rPr>
          <w:rFonts w:ascii="Verdana" w:hAnsi="Verdana"/>
          <w:lang w:val="en-US"/>
        </w:rPr>
        <w:t>and the impact of the technical flows (-59.5), summing 10.5.</w:t>
      </w:r>
    </w:p>
    <w:p w:rsidR="009C208A" w:rsidRDefault="0019305E" w:rsidP="007256B0">
      <w:pPr>
        <w:rPr>
          <w:rFonts w:ascii="Verdana" w:hAnsi="Verdana"/>
          <w:lang w:val="en-US"/>
        </w:rPr>
      </w:pPr>
      <w:r w:rsidRPr="0019305E">
        <w:rPr>
          <w:rFonts w:ascii="Verdana" w:hAnsi="Verdana"/>
          <w:lang w:val="en-US"/>
        </w:rPr>
        <w:t xml:space="preserve"> </w:t>
      </w:r>
      <w:r w:rsidR="0078608C" w:rsidRPr="0078608C">
        <w:rPr>
          <w:rFonts w:ascii="Verdana" w:hAnsi="Verdana"/>
          <w:lang w:val="en-US"/>
        </w:rPr>
        <w:t xml:space="preserve"> </w:t>
      </w:r>
      <w:r w:rsidR="0078608C" w:rsidRPr="0078608C">
        <w:rPr>
          <w:noProof/>
          <w:lang w:val="en-GB" w:eastAsia="en-GB"/>
        </w:rPr>
        <w:drawing>
          <wp:inline distT="0" distB="0" distL="0" distR="0" wp14:anchorId="19CA0F53" wp14:editId="2714C1BC">
            <wp:extent cx="5760720" cy="1628497"/>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760720" cy="1628497"/>
                    </a:xfrm>
                    <a:prstGeom prst="rect">
                      <a:avLst/>
                    </a:prstGeom>
                    <a:noFill/>
                    <a:ln>
                      <a:noFill/>
                    </a:ln>
                  </pic:spPr>
                </pic:pic>
              </a:graphicData>
            </a:graphic>
          </wp:inline>
        </w:drawing>
      </w:r>
    </w:p>
    <w:p w:rsidR="007256B0" w:rsidRPr="007853BA" w:rsidRDefault="007256B0" w:rsidP="007256B0">
      <w:pPr>
        <w:rPr>
          <w:rFonts w:ascii="Verdana" w:hAnsi="Verdana"/>
          <w:lang w:val="en-US"/>
        </w:rPr>
      </w:pPr>
      <w:r w:rsidRPr="007853BA">
        <w:rPr>
          <w:rFonts w:ascii="Verdana" w:hAnsi="Verdana"/>
          <w:lang w:val="en-US"/>
        </w:rPr>
        <w:t>Notes/explanations:</w:t>
      </w:r>
    </w:p>
    <w:p w:rsidR="007256B0" w:rsidRPr="007853BA" w:rsidRDefault="007256B0" w:rsidP="007256B0">
      <w:pPr>
        <w:rPr>
          <w:rFonts w:ascii="Verdana" w:hAnsi="Verdana"/>
          <w:b/>
          <w:lang w:val="en-US"/>
        </w:rPr>
      </w:pPr>
      <w:r w:rsidRPr="007853BA">
        <w:rPr>
          <w:rFonts w:ascii="Verdana" w:hAnsi="Verdana"/>
          <w:b/>
          <w:lang w:val="en-US"/>
        </w:rPr>
        <w:t>S.29.04</w:t>
      </w:r>
    </w:p>
    <w:p w:rsidR="007256B0" w:rsidRPr="007853BA" w:rsidRDefault="007256B0" w:rsidP="007256B0">
      <w:pPr>
        <w:rPr>
          <w:rFonts w:ascii="Verdana" w:hAnsi="Verdana"/>
          <w:lang w:val="en-US"/>
        </w:rPr>
      </w:pPr>
      <w:r w:rsidRPr="007853BA">
        <w:rPr>
          <w:rFonts w:ascii="Verdana" w:hAnsi="Verdana"/>
          <w:lang w:val="en-US"/>
        </w:rPr>
        <w:t xml:space="preserve">R0090: reflects the amount </w:t>
      </w:r>
      <w:r w:rsidR="00D3252A">
        <w:rPr>
          <w:rFonts w:ascii="Verdana" w:hAnsi="Verdana"/>
          <w:lang w:val="en-US"/>
        </w:rPr>
        <w:t>settled</w:t>
      </w:r>
      <w:r w:rsidR="00D3252A" w:rsidRPr="007853BA">
        <w:rPr>
          <w:rFonts w:ascii="Verdana" w:hAnsi="Verdana"/>
          <w:lang w:val="en-US"/>
        </w:rPr>
        <w:t xml:space="preserve"> </w:t>
      </w:r>
      <w:r w:rsidRPr="007853BA">
        <w:rPr>
          <w:rFonts w:ascii="Verdana" w:hAnsi="Verdana"/>
          <w:lang w:val="en-US"/>
        </w:rPr>
        <w:t>during the reporting period</w:t>
      </w:r>
      <w:r w:rsidRPr="008620C2">
        <w:rPr>
          <w:rFonts w:ascii="Verdana" w:hAnsi="Verdana"/>
          <w:lang w:val="en-US"/>
        </w:rPr>
        <w:t xml:space="preserve"> converted into euros</w:t>
      </w:r>
    </w:p>
    <w:p w:rsidR="0078608C" w:rsidRDefault="007256B0" w:rsidP="0078608C">
      <w:pPr>
        <w:jc w:val="both"/>
        <w:rPr>
          <w:rFonts w:ascii="Verdana" w:hAnsi="Verdana"/>
          <w:lang w:val="en-US"/>
        </w:rPr>
      </w:pPr>
      <w:r w:rsidRPr="007853BA">
        <w:rPr>
          <w:rFonts w:ascii="Verdana" w:hAnsi="Verdana"/>
          <w:lang w:val="en-US"/>
        </w:rPr>
        <w:t xml:space="preserve">R0110: </w:t>
      </w:r>
      <w:r w:rsidR="0078608C" w:rsidRPr="00BB09C7">
        <w:rPr>
          <w:rFonts w:ascii="Verdana" w:hAnsi="Verdana"/>
          <w:color w:val="FF0000"/>
          <w:lang w:val="en-US"/>
        </w:rPr>
        <w:t xml:space="preserve">This is the variation effects directly linked to the acceptance of risks </w:t>
      </w:r>
      <w:r w:rsidR="0090642A" w:rsidRPr="00BB09C7">
        <w:rPr>
          <w:rFonts w:ascii="Verdana" w:hAnsi="Verdana"/>
          <w:color w:val="FF0000"/>
          <w:lang w:val="en-US"/>
        </w:rPr>
        <w:t xml:space="preserve">referring to risks covered prior to the period </w:t>
      </w:r>
      <w:r w:rsidR="0078608C" w:rsidRPr="00BB09C7">
        <w:rPr>
          <w:rFonts w:ascii="Verdana" w:hAnsi="Verdana"/>
          <w:color w:val="FF0000"/>
          <w:lang w:val="en-US"/>
        </w:rPr>
        <w:t>captured in R0210 up to R0250 in the S.29.03, i.e. -59.5. Please note para. 1.57 (the variation triggered for example by changes in perimeter or foreign exchange variation should not be reported in S.29.04. This means that this cells do not reflect the total variation of the best estimate.)</w:t>
      </w:r>
    </w:p>
    <w:p w:rsidR="007256B0" w:rsidRPr="007853BA" w:rsidRDefault="007256B0" w:rsidP="007853BA">
      <w:pPr>
        <w:jc w:val="both"/>
        <w:rPr>
          <w:rFonts w:ascii="Verdana" w:hAnsi="Verdana"/>
          <w:lang w:val="en-US"/>
        </w:rPr>
      </w:pPr>
      <w:r w:rsidRPr="007853BA">
        <w:rPr>
          <w:rFonts w:ascii="Verdana" w:hAnsi="Verdana"/>
          <w:lang w:val="en-US"/>
        </w:rPr>
        <w:t xml:space="preserve">R0140: </w:t>
      </w:r>
      <w:r w:rsidRPr="00EA393A">
        <w:rPr>
          <w:rFonts w:ascii="Verdana" w:hAnsi="Verdana"/>
          <w:lang w:val="en-US"/>
        </w:rPr>
        <w:t xml:space="preserve">Note that the amount reported in S.29.03/R0360 and S.29.04/R0140 should be the same with </w:t>
      </w:r>
      <w:r w:rsidR="00EA393A">
        <w:rPr>
          <w:rFonts w:ascii="Verdana" w:hAnsi="Verdana"/>
          <w:lang w:val="en-US"/>
        </w:rPr>
        <w:t>same</w:t>
      </w:r>
      <w:r w:rsidR="00EA393A" w:rsidRPr="00EA393A">
        <w:rPr>
          <w:rFonts w:ascii="Verdana" w:hAnsi="Verdana"/>
          <w:lang w:val="en-US"/>
        </w:rPr>
        <w:t xml:space="preserve"> </w:t>
      </w:r>
      <w:r w:rsidRPr="00EA393A">
        <w:rPr>
          <w:rFonts w:ascii="Verdana" w:hAnsi="Verdana"/>
          <w:lang w:val="en-US"/>
        </w:rPr>
        <w:t>signs</w:t>
      </w:r>
      <w:r w:rsidRPr="008620C2">
        <w:rPr>
          <w:rFonts w:ascii="Verdana" w:hAnsi="Verdana"/>
          <w:lang w:val="en-US"/>
        </w:rPr>
        <w:t xml:space="preserve"> (this can only hold if either analysis is performed on a segment/LOB basis and if there are no unexplained changes in R0260 in S.29.03).</w:t>
      </w:r>
    </w:p>
    <w:p w:rsidR="007256B0" w:rsidRDefault="007256B0" w:rsidP="007256B0">
      <w:pPr>
        <w:jc w:val="both"/>
        <w:rPr>
          <w:rFonts w:ascii="Verdana" w:hAnsi="Verdana"/>
          <w:lang w:val="en-US"/>
        </w:rPr>
      </w:pPr>
    </w:p>
    <w:p w:rsidR="007256B0" w:rsidRDefault="007256B0" w:rsidP="007256B0">
      <w:pPr>
        <w:rPr>
          <w:rFonts w:ascii="Verdana" w:eastAsiaTheme="majorEastAsia" w:hAnsi="Verdana" w:cstheme="majorBidi"/>
          <w:b/>
          <w:bCs/>
          <w:color w:val="365F91" w:themeColor="accent1" w:themeShade="BF"/>
          <w:lang w:val="en-US"/>
        </w:rPr>
      </w:pPr>
      <w:r>
        <w:rPr>
          <w:rFonts w:ascii="Verdana" w:hAnsi="Verdana"/>
          <w:lang w:val="en-US"/>
        </w:rPr>
        <w:br w:type="page"/>
      </w:r>
    </w:p>
    <w:p w:rsidR="00262FAF" w:rsidRPr="007853BA" w:rsidRDefault="00262FAF" w:rsidP="00262FAF">
      <w:pPr>
        <w:pStyle w:val="Heading1"/>
        <w:rPr>
          <w:rFonts w:ascii="Verdana" w:hAnsi="Verdana"/>
          <w:sz w:val="22"/>
          <w:lang w:val="en-US"/>
        </w:rPr>
      </w:pPr>
      <w:r w:rsidRPr="007853BA">
        <w:rPr>
          <w:rFonts w:ascii="Verdana" w:hAnsi="Verdana"/>
          <w:sz w:val="22"/>
          <w:lang w:val="en-US"/>
        </w:rPr>
        <w:t>Case 5: Claim provision run-off with FX and discounting</w:t>
      </w:r>
    </w:p>
    <w:p w:rsidR="00262FAF" w:rsidRDefault="00507600">
      <w:pPr>
        <w:rPr>
          <w:rFonts w:ascii="Verdana" w:hAnsi="Verdana"/>
          <w:lang w:val="en-US"/>
        </w:rPr>
      </w:pPr>
      <w:r w:rsidRPr="00507600">
        <w:rPr>
          <w:noProof/>
          <w:lang w:val="en-GB" w:eastAsia="en-GB"/>
        </w:rPr>
        <w:drawing>
          <wp:inline distT="0" distB="0" distL="0" distR="0" wp14:anchorId="2B411077" wp14:editId="73013ED5">
            <wp:extent cx="4723075" cy="8225692"/>
            <wp:effectExtent l="0" t="0" r="1905" b="444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4721115" cy="8222278"/>
                    </a:xfrm>
                    <a:prstGeom prst="rect">
                      <a:avLst/>
                    </a:prstGeom>
                    <a:noFill/>
                    <a:ln>
                      <a:noFill/>
                    </a:ln>
                  </pic:spPr>
                </pic:pic>
              </a:graphicData>
            </a:graphic>
          </wp:inline>
        </w:drawing>
      </w:r>
    </w:p>
    <w:p w:rsidR="00507600" w:rsidRPr="007853BA" w:rsidRDefault="00507600" w:rsidP="00507600">
      <w:pPr>
        <w:rPr>
          <w:rFonts w:ascii="Verdana" w:hAnsi="Verdana"/>
          <w:lang w:val="en-US"/>
        </w:rPr>
      </w:pPr>
      <w:r w:rsidRPr="007853BA">
        <w:rPr>
          <w:rFonts w:ascii="Verdana" w:hAnsi="Verdana"/>
          <w:lang w:val="en-US"/>
        </w:rPr>
        <w:t xml:space="preserve">Formulas made available in the excel file. </w:t>
      </w:r>
    </w:p>
    <w:p w:rsidR="00606C01" w:rsidRDefault="00507600">
      <w:pPr>
        <w:rPr>
          <w:rFonts w:ascii="Verdana" w:eastAsiaTheme="majorEastAsia" w:hAnsi="Verdana" w:cstheme="majorBidi"/>
          <w:b/>
          <w:bCs/>
          <w:color w:val="365F91" w:themeColor="accent1" w:themeShade="BF"/>
          <w:lang w:val="en-US"/>
        </w:rPr>
      </w:pPr>
      <w:r w:rsidRPr="00507600">
        <w:rPr>
          <w:noProof/>
          <w:lang w:val="en-GB" w:eastAsia="en-GB"/>
        </w:rPr>
        <w:drawing>
          <wp:inline distT="0" distB="0" distL="0" distR="0" wp14:anchorId="432D4B3E" wp14:editId="2927AD3F">
            <wp:extent cx="5760720" cy="659981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760720" cy="6599810"/>
                    </a:xfrm>
                    <a:prstGeom prst="rect">
                      <a:avLst/>
                    </a:prstGeom>
                    <a:noFill/>
                    <a:ln>
                      <a:noFill/>
                    </a:ln>
                  </pic:spPr>
                </pic:pic>
              </a:graphicData>
            </a:graphic>
          </wp:inline>
        </w:drawing>
      </w:r>
    </w:p>
    <w:p w:rsidR="00507600" w:rsidRPr="007853BA" w:rsidRDefault="009E4302" w:rsidP="00507600">
      <w:pPr>
        <w:rPr>
          <w:rFonts w:ascii="Verdana" w:hAnsi="Verdana"/>
          <w:lang w:val="en-US"/>
        </w:rPr>
      </w:pPr>
      <w:r w:rsidRPr="007853BA">
        <w:rPr>
          <w:rFonts w:ascii="Verdana" w:hAnsi="Verdana"/>
          <w:lang w:val="en-US"/>
        </w:rPr>
        <w:br w:type="page"/>
      </w:r>
      <w:r w:rsidR="00507600" w:rsidRPr="007853BA">
        <w:rPr>
          <w:rFonts w:ascii="Verdana" w:hAnsi="Verdana"/>
          <w:lang w:val="en-US"/>
        </w:rPr>
        <w:t>Notes/explanations:</w:t>
      </w:r>
    </w:p>
    <w:p w:rsidR="00507600" w:rsidRPr="007853BA" w:rsidRDefault="00507600" w:rsidP="00507600">
      <w:pPr>
        <w:rPr>
          <w:rFonts w:ascii="Verdana" w:hAnsi="Verdana"/>
          <w:b/>
          <w:lang w:val="en-US"/>
        </w:rPr>
      </w:pPr>
      <w:r w:rsidRPr="007853BA">
        <w:rPr>
          <w:rFonts w:ascii="Verdana" w:hAnsi="Verdana"/>
          <w:b/>
          <w:lang w:val="en-US"/>
        </w:rPr>
        <w:t>S.29.03</w:t>
      </w:r>
    </w:p>
    <w:p w:rsidR="00507600" w:rsidRPr="007853BA" w:rsidRDefault="00507600" w:rsidP="00D5762E">
      <w:pPr>
        <w:jc w:val="both"/>
        <w:rPr>
          <w:rFonts w:ascii="Verdana" w:hAnsi="Verdana"/>
          <w:lang w:val="en-US"/>
        </w:rPr>
      </w:pPr>
      <w:r w:rsidRPr="007853BA">
        <w:rPr>
          <w:rFonts w:ascii="Verdana" w:hAnsi="Verdana"/>
          <w:lang w:val="en-US"/>
        </w:rPr>
        <w:t xml:space="preserve">R0150: projected cash-flows at the opening position discounted. </w:t>
      </w:r>
      <w:r w:rsidRPr="008620C2">
        <w:rPr>
          <w:rFonts w:ascii="Verdana" w:hAnsi="Verdana"/>
          <w:lang w:val="en-US"/>
        </w:rPr>
        <w:t>According to the LOG the order is not prescriptive so undertaking may decide to do the foreign exchange variation at the end, and not reflect it in the opening BE</w:t>
      </w:r>
    </w:p>
    <w:p w:rsidR="00507600" w:rsidRPr="007853BA" w:rsidRDefault="00507600" w:rsidP="00D5762E">
      <w:pPr>
        <w:jc w:val="both"/>
        <w:rPr>
          <w:rFonts w:ascii="Verdana" w:hAnsi="Verdana"/>
          <w:lang w:val="en-US"/>
        </w:rPr>
      </w:pPr>
      <w:r w:rsidRPr="007853BA">
        <w:rPr>
          <w:rFonts w:ascii="Verdana" w:hAnsi="Verdana"/>
          <w:lang w:val="en-US"/>
        </w:rPr>
        <w:t>R0180: reflect the impact of the exchange rate</w:t>
      </w:r>
    </w:p>
    <w:p w:rsidR="00507600" w:rsidRPr="007853BA" w:rsidRDefault="00507600" w:rsidP="00D5762E">
      <w:pPr>
        <w:jc w:val="both"/>
        <w:rPr>
          <w:rFonts w:ascii="Verdana" w:hAnsi="Verdana"/>
          <w:lang w:val="en-US"/>
        </w:rPr>
      </w:pPr>
      <w:r w:rsidRPr="007853BA">
        <w:rPr>
          <w:rFonts w:ascii="Verdana" w:hAnsi="Verdana"/>
          <w:lang w:val="en-US"/>
        </w:rPr>
        <w:t>TP@t=0(FX @t=1)-TP@t=0(FX@t=0)</w:t>
      </w:r>
    </w:p>
    <w:p w:rsidR="00507600" w:rsidRPr="007853BA" w:rsidRDefault="00507600" w:rsidP="00D5762E">
      <w:pPr>
        <w:jc w:val="both"/>
        <w:rPr>
          <w:rFonts w:ascii="Verdana" w:hAnsi="Verdana"/>
          <w:lang w:val="en-US"/>
        </w:rPr>
      </w:pPr>
      <w:r w:rsidRPr="007853BA">
        <w:rPr>
          <w:rFonts w:ascii="Verdana" w:hAnsi="Verdana"/>
          <w:lang w:val="en-US"/>
        </w:rPr>
        <w:t xml:space="preserve">R0210: </w:t>
      </w:r>
      <w:r w:rsidRPr="008620C2">
        <w:rPr>
          <w:rFonts w:ascii="Verdana" w:hAnsi="Verdana"/>
          <w:lang w:val="en-US"/>
        </w:rPr>
        <w:t>difference between opening BE and BE calculated discounting the Cash-Flows with the implied interest rate (1_year implied forwarded interest rate term structure @t=0)</w:t>
      </w:r>
    </w:p>
    <w:p w:rsidR="00507600" w:rsidRPr="007853BA" w:rsidRDefault="00507600" w:rsidP="00D5762E">
      <w:pPr>
        <w:jc w:val="both"/>
        <w:rPr>
          <w:rFonts w:ascii="Verdana" w:hAnsi="Verdana"/>
          <w:lang w:val="en-US"/>
        </w:rPr>
      </w:pPr>
      <w:r w:rsidRPr="007853BA">
        <w:rPr>
          <w:rFonts w:ascii="Verdana" w:hAnsi="Verdana"/>
          <w:lang w:val="en-US"/>
        </w:rPr>
        <w:t xml:space="preserve">R0220: minus the estimated CF projected for the year that is finishing </w:t>
      </w:r>
    </w:p>
    <w:p w:rsidR="00507600" w:rsidRPr="007853BA" w:rsidRDefault="00507600" w:rsidP="00D5762E">
      <w:pPr>
        <w:jc w:val="both"/>
        <w:rPr>
          <w:rFonts w:ascii="Verdana" w:hAnsi="Verdana"/>
          <w:lang w:val="en-US"/>
        </w:rPr>
      </w:pPr>
      <w:r w:rsidRPr="007853BA">
        <w:rPr>
          <w:rFonts w:ascii="Verdana" w:hAnsi="Verdana"/>
          <w:lang w:val="en-US"/>
        </w:rPr>
        <w:t>R0240: difference between the revis</w:t>
      </w:r>
      <w:r w:rsidRPr="008620C2">
        <w:rPr>
          <w:rFonts w:ascii="Verdana" w:hAnsi="Verdana"/>
          <w:lang w:val="en-US"/>
        </w:rPr>
        <w:t xml:space="preserve">ed cash-flows and original cash-flows estimated, both discounted with the implied interest rate (1_year implied forwarded interest rate term structure @t=0) </w:t>
      </w:r>
    </w:p>
    <w:p w:rsidR="00507600" w:rsidRPr="007853BA" w:rsidRDefault="00507600" w:rsidP="00D5762E">
      <w:pPr>
        <w:jc w:val="both"/>
        <w:rPr>
          <w:rFonts w:ascii="Verdana" w:hAnsi="Verdana"/>
          <w:lang w:val="en-US"/>
        </w:rPr>
      </w:pPr>
      <w:r w:rsidRPr="007853BA">
        <w:rPr>
          <w:rFonts w:ascii="Verdana" w:hAnsi="Verdana"/>
          <w:lang w:val="en-US"/>
        </w:rPr>
        <w:t>R0250: considering now the revised Cash-flows, assess the impact of a change i</w:t>
      </w:r>
      <w:r w:rsidRPr="008620C2">
        <w:rPr>
          <w:rFonts w:ascii="Verdana" w:hAnsi="Verdana"/>
          <w:lang w:val="en-US"/>
        </w:rPr>
        <w:t>n an economic item, in this case the discount curve. Difference between the revised cash-flows discounted with discounted with the implied interest rate (1_year implied forwarded interest rate term structure @t=0) and discounted with hypothetical interest rate term structure @t=1 (just an assumption).</w:t>
      </w:r>
    </w:p>
    <w:p w:rsidR="00507600" w:rsidRPr="007853BA" w:rsidRDefault="00507600" w:rsidP="00D5762E">
      <w:pPr>
        <w:jc w:val="both"/>
        <w:rPr>
          <w:rFonts w:ascii="Verdana" w:hAnsi="Verdana"/>
          <w:lang w:val="en-US"/>
        </w:rPr>
      </w:pPr>
      <w:r w:rsidRPr="007853BA">
        <w:rPr>
          <w:rFonts w:ascii="Verdana" w:hAnsi="Verdana"/>
          <w:lang w:val="en-US"/>
        </w:rPr>
        <w:t xml:space="preserve">R0320: reflects the amount </w:t>
      </w:r>
      <w:r w:rsidR="002669E7">
        <w:rPr>
          <w:rFonts w:ascii="Verdana" w:hAnsi="Verdana"/>
          <w:lang w:val="en-US"/>
        </w:rPr>
        <w:t>settled</w:t>
      </w:r>
      <w:r w:rsidR="002669E7" w:rsidRPr="007853BA">
        <w:rPr>
          <w:rFonts w:ascii="Verdana" w:hAnsi="Verdana"/>
          <w:lang w:val="en-US"/>
        </w:rPr>
        <w:t xml:space="preserve"> </w:t>
      </w:r>
      <w:r w:rsidRPr="007853BA">
        <w:rPr>
          <w:rFonts w:ascii="Verdana" w:hAnsi="Verdana"/>
          <w:lang w:val="en-US"/>
        </w:rPr>
        <w:t>during the reporting period;</w:t>
      </w:r>
    </w:p>
    <w:p w:rsidR="00507600" w:rsidRPr="00AD7EC0" w:rsidRDefault="00507600" w:rsidP="00D5762E">
      <w:pPr>
        <w:jc w:val="both"/>
        <w:rPr>
          <w:rFonts w:ascii="Verdana" w:hAnsi="Verdana"/>
          <w:b/>
          <w:color w:val="365F91" w:themeColor="accent1" w:themeShade="BF"/>
          <w:lang w:val="en-US"/>
        </w:rPr>
      </w:pPr>
      <w:r w:rsidRPr="007853BA">
        <w:rPr>
          <w:rFonts w:ascii="Verdana" w:hAnsi="Verdana"/>
          <w:lang w:val="en-US"/>
        </w:rPr>
        <w:t>R0360: Reflects the full impact in the EoAoL, i.e. the variation in the best estimate (-44.</w:t>
      </w:r>
      <w:r w:rsidRPr="008620C2">
        <w:rPr>
          <w:rFonts w:ascii="Verdana" w:hAnsi="Verdana"/>
          <w:lang w:val="en-US"/>
        </w:rPr>
        <w:t>78) and the impact of the technical flows (48), summing -3.215.</w:t>
      </w:r>
    </w:p>
    <w:p w:rsidR="00796612" w:rsidRDefault="00BB2945" w:rsidP="00107A5C">
      <w:pPr>
        <w:rPr>
          <w:rFonts w:ascii="Verdana" w:hAnsi="Verdana"/>
          <w:lang w:val="en-US"/>
        </w:rPr>
      </w:pPr>
      <w:r w:rsidRPr="00BB2945">
        <w:rPr>
          <w:rFonts w:ascii="Verdana" w:hAnsi="Verdana"/>
          <w:lang w:val="en-US"/>
        </w:rPr>
        <w:t xml:space="preserve"> </w:t>
      </w:r>
      <w:r w:rsidR="002460BD" w:rsidRPr="002460BD">
        <w:rPr>
          <w:noProof/>
          <w:lang w:val="en-GB" w:eastAsia="en-GB"/>
        </w:rPr>
        <w:drawing>
          <wp:inline distT="0" distB="0" distL="0" distR="0" wp14:anchorId="7BB24C9A" wp14:editId="478DF465">
            <wp:extent cx="5760720" cy="1628497"/>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760720" cy="1628497"/>
                    </a:xfrm>
                    <a:prstGeom prst="rect">
                      <a:avLst/>
                    </a:prstGeom>
                    <a:noFill/>
                    <a:ln>
                      <a:noFill/>
                    </a:ln>
                  </pic:spPr>
                </pic:pic>
              </a:graphicData>
            </a:graphic>
          </wp:inline>
        </w:drawing>
      </w:r>
    </w:p>
    <w:p w:rsidR="00107A5C" w:rsidRPr="007853BA" w:rsidRDefault="00107A5C" w:rsidP="00107A5C">
      <w:pPr>
        <w:rPr>
          <w:rFonts w:ascii="Verdana" w:hAnsi="Verdana"/>
          <w:lang w:val="en-US"/>
        </w:rPr>
      </w:pPr>
      <w:r w:rsidRPr="007853BA">
        <w:rPr>
          <w:rFonts w:ascii="Verdana" w:hAnsi="Verdana"/>
          <w:lang w:val="en-US"/>
        </w:rPr>
        <w:t>Notes/explanations:</w:t>
      </w:r>
    </w:p>
    <w:p w:rsidR="00107A5C" w:rsidRPr="007853BA" w:rsidRDefault="00107A5C" w:rsidP="00107A5C">
      <w:pPr>
        <w:rPr>
          <w:rFonts w:ascii="Verdana" w:hAnsi="Verdana"/>
          <w:b/>
          <w:lang w:val="en-US"/>
        </w:rPr>
      </w:pPr>
      <w:r w:rsidRPr="007853BA">
        <w:rPr>
          <w:rFonts w:ascii="Verdana" w:hAnsi="Verdana"/>
          <w:b/>
          <w:lang w:val="en-US"/>
        </w:rPr>
        <w:t>S.29.04</w:t>
      </w:r>
    </w:p>
    <w:p w:rsidR="00107A5C" w:rsidRPr="007853BA" w:rsidRDefault="00107A5C" w:rsidP="00107A5C">
      <w:pPr>
        <w:jc w:val="both"/>
        <w:rPr>
          <w:rFonts w:ascii="Verdana" w:hAnsi="Verdana"/>
          <w:lang w:val="en-US"/>
        </w:rPr>
      </w:pPr>
      <w:r w:rsidRPr="007853BA">
        <w:rPr>
          <w:rFonts w:ascii="Verdana" w:hAnsi="Verdana"/>
          <w:lang w:val="en-US"/>
        </w:rPr>
        <w:t xml:space="preserve">R0090: reflects the amount </w:t>
      </w:r>
      <w:r w:rsidR="002669E7">
        <w:rPr>
          <w:rFonts w:ascii="Verdana" w:hAnsi="Verdana"/>
          <w:lang w:val="en-US"/>
        </w:rPr>
        <w:t>settled</w:t>
      </w:r>
      <w:r w:rsidR="002669E7" w:rsidRPr="007853BA">
        <w:rPr>
          <w:rFonts w:ascii="Verdana" w:hAnsi="Verdana"/>
          <w:lang w:val="en-US"/>
        </w:rPr>
        <w:t xml:space="preserve"> </w:t>
      </w:r>
      <w:r w:rsidRPr="007853BA">
        <w:rPr>
          <w:rFonts w:ascii="Verdana" w:hAnsi="Verdana"/>
          <w:lang w:val="en-US"/>
        </w:rPr>
        <w:t xml:space="preserve">during the reporting </w:t>
      </w:r>
    </w:p>
    <w:p w:rsidR="002460BD" w:rsidRDefault="00107A5C" w:rsidP="002460BD">
      <w:pPr>
        <w:jc w:val="both"/>
        <w:rPr>
          <w:rFonts w:ascii="Verdana" w:hAnsi="Verdana"/>
          <w:lang w:val="en-US"/>
        </w:rPr>
      </w:pPr>
      <w:r w:rsidRPr="007853BA">
        <w:rPr>
          <w:rFonts w:ascii="Verdana" w:hAnsi="Verdana"/>
          <w:lang w:val="en-US"/>
        </w:rPr>
        <w:t xml:space="preserve">R0110: </w:t>
      </w:r>
      <w:r w:rsidR="002460BD" w:rsidRPr="00BB09C7">
        <w:rPr>
          <w:rFonts w:ascii="Verdana" w:hAnsi="Verdana"/>
          <w:color w:val="FF0000"/>
          <w:lang w:val="en-US"/>
        </w:rPr>
        <w:t xml:space="preserve">This is the variation effects directly linked to the acceptance of risks </w:t>
      </w:r>
      <w:r w:rsidR="0090642A" w:rsidRPr="00BB09C7">
        <w:rPr>
          <w:rFonts w:ascii="Verdana" w:hAnsi="Verdana"/>
          <w:color w:val="FF0000"/>
          <w:lang w:val="en-US"/>
        </w:rPr>
        <w:t xml:space="preserve">referring to risks covered prior to the period </w:t>
      </w:r>
      <w:r w:rsidR="002460BD" w:rsidRPr="00BB09C7">
        <w:rPr>
          <w:rFonts w:ascii="Verdana" w:hAnsi="Verdana"/>
          <w:color w:val="FF0000"/>
          <w:lang w:val="en-US"/>
        </w:rPr>
        <w:t>captured in R0210 up to R0250 in the S.29.03, i.e. -35.24. Please note para. 1.57 (the variation triggered for example by changes in perimeter or foreign exchange variation should not be reported in S.29.04. This means that this cells do not reflect the total variation of the best estimate.)</w:t>
      </w:r>
    </w:p>
    <w:p w:rsidR="00107A5C" w:rsidRPr="007853BA" w:rsidRDefault="00107A5C" w:rsidP="00107A5C">
      <w:pPr>
        <w:jc w:val="both"/>
        <w:rPr>
          <w:rFonts w:ascii="Verdana" w:hAnsi="Verdana"/>
          <w:lang w:val="en-US"/>
        </w:rPr>
      </w:pPr>
      <w:r w:rsidRPr="007853BA">
        <w:rPr>
          <w:rFonts w:ascii="Verdana" w:hAnsi="Verdana"/>
          <w:lang w:val="en-US"/>
        </w:rPr>
        <w:t xml:space="preserve">R0140: </w:t>
      </w:r>
      <w:r w:rsidRPr="008620C2">
        <w:rPr>
          <w:rFonts w:ascii="Verdana" w:hAnsi="Verdana"/>
          <w:lang w:val="en-US"/>
        </w:rPr>
        <w:t xml:space="preserve">Note that the amount reported in S.29.03/R0360 and S.29.04/R0140 should be </w:t>
      </w:r>
      <w:r w:rsidRPr="00EA393A">
        <w:rPr>
          <w:rFonts w:ascii="Verdana" w:hAnsi="Verdana"/>
          <w:lang w:val="en-US"/>
        </w:rPr>
        <w:t xml:space="preserve">the same with </w:t>
      </w:r>
      <w:r w:rsidR="00EA393A">
        <w:rPr>
          <w:rFonts w:ascii="Verdana" w:hAnsi="Verdana"/>
          <w:lang w:val="en-US"/>
        </w:rPr>
        <w:t>same</w:t>
      </w:r>
      <w:r w:rsidR="00EA393A" w:rsidRPr="00EA393A">
        <w:rPr>
          <w:rFonts w:ascii="Verdana" w:hAnsi="Verdana"/>
          <w:lang w:val="en-US"/>
        </w:rPr>
        <w:t xml:space="preserve"> </w:t>
      </w:r>
      <w:r w:rsidRPr="00EA393A">
        <w:rPr>
          <w:rFonts w:ascii="Verdana" w:hAnsi="Verdana"/>
          <w:lang w:val="en-US"/>
        </w:rPr>
        <w:t>signs</w:t>
      </w:r>
      <w:r w:rsidRPr="008620C2">
        <w:rPr>
          <w:rFonts w:ascii="Verdana" w:hAnsi="Verdana"/>
          <w:lang w:val="en-US"/>
        </w:rPr>
        <w:t xml:space="preserve"> (this can only hold if either analysis is performed on a segment/LOB basis and if there are no unexplained changes in R0260 in S.29.03). </w:t>
      </w:r>
    </w:p>
    <w:p w:rsidR="008E1EBA" w:rsidRDefault="008E1EBA">
      <w:pPr>
        <w:rPr>
          <w:rFonts w:ascii="Verdana" w:eastAsiaTheme="majorEastAsia" w:hAnsi="Verdana" w:cstheme="majorBidi"/>
          <w:color w:val="365F91" w:themeColor="accent1" w:themeShade="BF"/>
          <w:sz w:val="28"/>
          <w:szCs w:val="28"/>
          <w:lang w:val="en-US"/>
        </w:rPr>
      </w:pPr>
      <w:r>
        <w:rPr>
          <w:rFonts w:ascii="Verdana" w:hAnsi="Verdana"/>
          <w:b/>
          <w:bCs/>
          <w:lang w:val="en-US"/>
        </w:rPr>
        <w:br w:type="page"/>
      </w:r>
    </w:p>
    <w:p w:rsidR="00D26C11" w:rsidRPr="007853BA" w:rsidRDefault="00D26C11" w:rsidP="00D26C11">
      <w:pPr>
        <w:pStyle w:val="Heading1"/>
        <w:rPr>
          <w:rFonts w:ascii="Verdana" w:hAnsi="Verdana"/>
          <w:sz w:val="22"/>
          <w:lang w:val="en-US"/>
        </w:rPr>
      </w:pPr>
      <w:r w:rsidRPr="007853BA">
        <w:rPr>
          <w:rFonts w:ascii="Verdana" w:hAnsi="Verdana"/>
          <w:sz w:val="22"/>
          <w:lang w:val="en-US"/>
        </w:rPr>
        <w:t xml:space="preserve">Case </w:t>
      </w:r>
      <w:r w:rsidR="00262FAF" w:rsidRPr="008620C2">
        <w:rPr>
          <w:rFonts w:ascii="Verdana" w:hAnsi="Verdana"/>
          <w:sz w:val="22"/>
          <w:lang w:val="en-US"/>
        </w:rPr>
        <w:t>6A</w:t>
      </w:r>
      <w:r w:rsidRPr="008620C2">
        <w:rPr>
          <w:rFonts w:ascii="Verdana" w:hAnsi="Verdana"/>
          <w:sz w:val="22"/>
          <w:lang w:val="en-US"/>
        </w:rPr>
        <w:t xml:space="preserve">: </w:t>
      </w:r>
      <w:r w:rsidR="0071221A" w:rsidRPr="008620C2">
        <w:rPr>
          <w:rFonts w:ascii="Verdana" w:hAnsi="Verdana"/>
          <w:sz w:val="22"/>
          <w:lang w:val="en-US"/>
        </w:rPr>
        <w:t>New business, one-year contract, incepting 01.07.</w:t>
      </w:r>
    </w:p>
    <w:p w:rsidR="00511084" w:rsidRDefault="00511084" w:rsidP="00511084">
      <w:pPr>
        <w:rPr>
          <w:lang w:val="en-US"/>
        </w:rPr>
      </w:pPr>
    </w:p>
    <w:p w:rsidR="009E4302" w:rsidRDefault="009E4302" w:rsidP="00511084">
      <w:pPr>
        <w:rPr>
          <w:lang w:val="en-US"/>
        </w:rPr>
      </w:pPr>
      <w:r w:rsidRPr="009E4302">
        <w:rPr>
          <w:noProof/>
          <w:lang w:val="en-GB" w:eastAsia="en-GB"/>
        </w:rPr>
        <w:drawing>
          <wp:inline distT="0" distB="0" distL="0" distR="0" wp14:anchorId="7841594A" wp14:editId="5539F7BF">
            <wp:extent cx="5760720" cy="3261463"/>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760720" cy="3261463"/>
                    </a:xfrm>
                    <a:prstGeom prst="rect">
                      <a:avLst/>
                    </a:prstGeom>
                    <a:noFill/>
                    <a:ln>
                      <a:noFill/>
                    </a:ln>
                  </pic:spPr>
                </pic:pic>
              </a:graphicData>
            </a:graphic>
          </wp:inline>
        </w:drawing>
      </w:r>
    </w:p>
    <w:p w:rsidR="009E4302" w:rsidRDefault="002460BD" w:rsidP="00511084">
      <w:pPr>
        <w:rPr>
          <w:lang w:val="en-US"/>
        </w:rPr>
      </w:pPr>
      <w:r w:rsidRPr="002460BD">
        <w:rPr>
          <w:lang w:val="en-US"/>
        </w:rPr>
        <w:t xml:space="preserve"> </w:t>
      </w:r>
      <w:r w:rsidRPr="002460BD">
        <w:rPr>
          <w:noProof/>
          <w:lang w:val="en-GB" w:eastAsia="en-GB"/>
        </w:rPr>
        <w:drawing>
          <wp:inline distT="0" distB="0" distL="0" distR="0" wp14:anchorId="669E2F4A" wp14:editId="26AACBF0">
            <wp:extent cx="5361940" cy="194564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5361940" cy="1945640"/>
                    </a:xfrm>
                    <a:prstGeom prst="rect">
                      <a:avLst/>
                    </a:prstGeom>
                    <a:noFill/>
                    <a:ln>
                      <a:noFill/>
                    </a:ln>
                  </pic:spPr>
                </pic:pic>
              </a:graphicData>
            </a:graphic>
          </wp:inline>
        </w:drawing>
      </w:r>
    </w:p>
    <w:p w:rsidR="00F34DA7" w:rsidRDefault="00F34DA7" w:rsidP="009E4302">
      <w:pPr>
        <w:rPr>
          <w:rFonts w:ascii="Verdana" w:hAnsi="Verdana"/>
          <w:lang w:val="en-US"/>
        </w:rPr>
      </w:pPr>
      <w:r w:rsidRPr="00F34DA7">
        <w:rPr>
          <w:noProof/>
          <w:lang w:val="en-GB" w:eastAsia="en-GB"/>
        </w:rPr>
        <w:drawing>
          <wp:inline distT="0" distB="0" distL="0" distR="0" wp14:anchorId="7F9E3419" wp14:editId="5E040E9C">
            <wp:extent cx="5757062" cy="6554419"/>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54">
                      <a:extLst>
                        <a:ext uri="{28A0092B-C50C-407E-A947-70E740481C1C}">
                          <a14:useLocalDpi xmlns:a14="http://schemas.microsoft.com/office/drawing/2010/main" val="0"/>
                        </a:ext>
                      </a:extLst>
                    </a:blip>
                    <a:srcRect b="1131"/>
                    <a:stretch/>
                  </pic:blipFill>
                  <pic:spPr bwMode="auto">
                    <a:xfrm>
                      <a:off x="0" y="0"/>
                      <a:ext cx="5760720" cy="6558584"/>
                    </a:xfrm>
                    <a:prstGeom prst="rect">
                      <a:avLst/>
                    </a:prstGeom>
                    <a:noFill/>
                    <a:ln>
                      <a:noFill/>
                    </a:ln>
                    <a:extLst>
                      <a:ext uri="{53640926-AAD7-44D8-BBD7-CCE9431645EC}">
                        <a14:shadowObscured xmlns:a14="http://schemas.microsoft.com/office/drawing/2010/main"/>
                      </a:ext>
                    </a:extLst>
                  </pic:spPr>
                </pic:pic>
              </a:graphicData>
            </a:graphic>
          </wp:inline>
        </w:drawing>
      </w:r>
    </w:p>
    <w:p w:rsidR="009E4302" w:rsidRPr="007853BA" w:rsidRDefault="009E4302" w:rsidP="009E4302">
      <w:pPr>
        <w:rPr>
          <w:rFonts w:ascii="Verdana" w:hAnsi="Verdana"/>
          <w:lang w:val="en-US"/>
        </w:rPr>
      </w:pPr>
      <w:r w:rsidRPr="007853BA">
        <w:rPr>
          <w:rFonts w:ascii="Verdana" w:hAnsi="Verdana"/>
          <w:lang w:val="en-US"/>
        </w:rPr>
        <w:t>Notes/explanations:</w:t>
      </w:r>
    </w:p>
    <w:p w:rsidR="009E4302" w:rsidRPr="007853BA" w:rsidRDefault="009E4302" w:rsidP="009E4302">
      <w:pPr>
        <w:rPr>
          <w:rFonts w:ascii="Verdana" w:hAnsi="Verdana"/>
          <w:b/>
          <w:lang w:val="en-US"/>
        </w:rPr>
      </w:pPr>
      <w:r w:rsidRPr="007853BA">
        <w:rPr>
          <w:rFonts w:ascii="Verdana" w:hAnsi="Verdana"/>
          <w:b/>
          <w:lang w:val="en-US"/>
        </w:rPr>
        <w:t>S.29.03</w:t>
      </w:r>
    </w:p>
    <w:p w:rsidR="009E4302" w:rsidRPr="007853BA" w:rsidRDefault="009E4302" w:rsidP="009E4302">
      <w:pPr>
        <w:rPr>
          <w:rFonts w:ascii="Verdana" w:hAnsi="Verdana"/>
          <w:lang w:val="en-US"/>
        </w:rPr>
      </w:pPr>
      <w:r w:rsidRPr="007853BA">
        <w:rPr>
          <w:rFonts w:ascii="Verdana" w:hAnsi="Verdana"/>
          <w:lang w:val="en-US"/>
        </w:rPr>
        <w:t xml:space="preserve">R0190: part corresponding to risks after the period: </w:t>
      </w:r>
      <w:r w:rsidRPr="008620C2">
        <w:rPr>
          <w:rFonts w:ascii="Verdana" w:hAnsi="Verdana"/>
          <w:lang w:val="en-US"/>
        </w:rPr>
        <w:t>Premium Provision @t=1=0.8*50-50=-10</w:t>
      </w:r>
    </w:p>
    <w:p w:rsidR="009E4302" w:rsidRPr="007853BA" w:rsidRDefault="009E4302" w:rsidP="009E4302">
      <w:pPr>
        <w:rPr>
          <w:rFonts w:ascii="Verdana" w:hAnsi="Verdana"/>
          <w:lang w:val="en-US"/>
        </w:rPr>
      </w:pPr>
      <w:r w:rsidRPr="007853BA">
        <w:rPr>
          <w:rFonts w:ascii="Verdana" w:hAnsi="Verdana"/>
          <w:lang w:val="en-US"/>
        </w:rPr>
        <w:t xml:space="preserve">Note that 50=PVFP (present value of future premium) </w:t>
      </w:r>
    </w:p>
    <w:p w:rsidR="009E4302" w:rsidRPr="007853BA" w:rsidRDefault="009E4302" w:rsidP="009E4302">
      <w:pPr>
        <w:rPr>
          <w:rFonts w:ascii="Verdana" w:hAnsi="Verdana"/>
          <w:lang w:val="en-US"/>
        </w:rPr>
      </w:pPr>
      <w:r w:rsidRPr="007853BA">
        <w:rPr>
          <w:rFonts w:ascii="Verdana" w:hAnsi="Verdana"/>
          <w:lang w:val="en-US"/>
        </w:rPr>
        <w:t>and unearned premium=0.</w:t>
      </w:r>
    </w:p>
    <w:p w:rsidR="009E4302" w:rsidRPr="007853BA" w:rsidRDefault="009E4302" w:rsidP="009E4302">
      <w:pPr>
        <w:rPr>
          <w:rFonts w:ascii="Verdana" w:hAnsi="Verdana"/>
          <w:lang w:val="en-US"/>
        </w:rPr>
      </w:pPr>
      <w:r w:rsidRPr="007853BA">
        <w:rPr>
          <w:rFonts w:ascii="Verdana" w:hAnsi="Verdana"/>
          <w:lang w:val="en-US"/>
        </w:rPr>
        <w:t xml:space="preserve">Also note that costs of 10 are not </w:t>
      </w:r>
      <w:r w:rsidRPr="008620C2">
        <w:rPr>
          <w:rFonts w:ascii="Verdana" w:hAnsi="Verdana"/>
          <w:lang w:val="en-US"/>
        </w:rPr>
        <w:t>considered in PP @t=1 because these are already paid at beginning of contract</w:t>
      </w:r>
    </w:p>
    <w:p w:rsidR="009E4302" w:rsidRPr="007853BA" w:rsidRDefault="009E4302" w:rsidP="009E4302">
      <w:pPr>
        <w:rPr>
          <w:rFonts w:ascii="Verdana" w:hAnsi="Verdana"/>
          <w:lang w:val="en-US"/>
        </w:rPr>
      </w:pPr>
      <w:r w:rsidRPr="007853BA">
        <w:rPr>
          <w:rFonts w:ascii="Verdana" w:hAnsi="Verdana"/>
          <w:lang w:val="en-US"/>
        </w:rPr>
        <w:t xml:space="preserve">R0200: part corresponding to risks during the period: </w:t>
      </w:r>
    </w:p>
    <w:p w:rsidR="009E4302" w:rsidRPr="007853BA" w:rsidRDefault="009E4302" w:rsidP="009E4302">
      <w:pPr>
        <w:rPr>
          <w:rFonts w:ascii="Verdana" w:hAnsi="Verdana"/>
          <w:lang w:val="en-US"/>
        </w:rPr>
      </w:pPr>
      <w:r w:rsidRPr="007853BA">
        <w:rPr>
          <w:rFonts w:ascii="Verdana" w:hAnsi="Verdana"/>
          <w:lang w:val="en-US"/>
        </w:rPr>
        <w:t>CP@t=1=0.8*50*(1-0.3)=28</w:t>
      </w:r>
    </w:p>
    <w:p w:rsidR="009E4302" w:rsidRPr="007853BA" w:rsidRDefault="009E4302" w:rsidP="009E4302">
      <w:pPr>
        <w:rPr>
          <w:rFonts w:ascii="Verdana" w:hAnsi="Verdana"/>
          <w:lang w:val="en-US"/>
        </w:rPr>
      </w:pPr>
      <w:r w:rsidRPr="007853BA">
        <w:rPr>
          <w:rFonts w:ascii="Verdana" w:hAnsi="Verdana"/>
          <w:lang w:val="en-US"/>
        </w:rPr>
        <w:t>This is, CP @t=1=loss ratio *earned premium-claims paid during period</w:t>
      </w:r>
    </w:p>
    <w:p w:rsidR="009E4302" w:rsidRPr="007853BA" w:rsidRDefault="009E4302" w:rsidP="009E4302">
      <w:pPr>
        <w:rPr>
          <w:rFonts w:ascii="Verdana" w:hAnsi="Verdana"/>
          <w:lang w:val="en-US"/>
        </w:rPr>
      </w:pPr>
      <w:r w:rsidRPr="007853BA">
        <w:rPr>
          <w:rFonts w:ascii="Verdana" w:hAnsi="Verdana"/>
          <w:lang w:val="en-US"/>
        </w:rPr>
        <w:t>R0320: reflects the amount a</w:t>
      </w:r>
      <w:r w:rsidRPr="008620C2">
        <w:rPr>
          <w:rFonts w:ascii="Verdana" w:hAnsi="Verdana"/>
          <w:lang w:val="en-US"/>
        </w:rPr>
        <w:t>ctually payed during the repor</w:t>
      </w:r>
      <w:r w:rsidR="00F34DA7" w:rsidRPr="008620C2">
        <w:rPr>
          <w:rFonts w:ascii="Verdana" w:hAnsi="Verdana"/>
          <w:lang w:val="en-US"/>
        </w:rPr>
        <w:t>ting period =0.8*50*0.3=12</w:t>
      </w:r>
    </w:p>
    <w:p w:rsidR="009E4302" w:rsidRPr="007853BA" w:rsidRDefault="009E4302" w:rsidP="009E4302">
      <w:pPr>
        <w:jc w:val="both"/>
        <w:rPr>
          <w:rFonts w:ascii="Verdana" w:hAnsi="Verdana"/>
          <w:lang w:val="en-US"/>
        </w:rPr>
      </w:pPr>
      <w:r w:rsidRPr="007853BA">
        <w:rPr>
          <w:rFonts w:ascii="Verdana" w:hAnsi="Verdana"/>
          <w:lang w:val="en-US"/>
        </w:rPr>
        <w:t>R0360: Reflects the full impact in the EoAoL, i.e. the variation in the best estimate (</w:t>
      </w:r>
      <w:r w:rsidR="00F34DA7" w:rsidRPr="008620C2">
        <w:rPr>
          <w:rFonts w:ascii="Verdana" w:hAnsi="Verdana"/>
          <w:lang w:val="en-US"/>
        </w:rPr>
        <w:t>-18</w:t>
      </w:r>
      <w:r w:rsidRPr="008620C2">
        <w:rPr>
          <w:rFonts w:ascii="Verdana" w:hAnsi="Verdana"/>
          <w:lang w:val="en-US"/>
        </w:rPr>
        <w:t>) and the impact of the technical flows (</w:t>
      </w:r>
      <w:r w:rsidR="00F34DA7" w:rsidRPr="008620C2">
        <w:rPr>
          <w:rFonts w:ascii="Verdana" w:hAnsi="Verdana"/>
          <w:lang w:val="en-US"/>
        </w:rPr>
        <w:t>28</w:t>
      </w:r>
      <w:r w:rsidRPr="008620C2">
        <w:rPr>
          <w:rFonts w:ascii="Verdana" w:hAnsi="Verdana"/>
          <w:lang w:val="en-US"/>
        </w:rPr>
        <w:t xml:space="preserve">), summing </w:t>
      </w:r>
      <w:r w:rsidR="00F34DA7" w:rsidRPr="008620C2">
        <w:rPr>
          <w:rFonts w:ascii="Verdana" w:hAnsi="Verdana"/>
          <w:lang w:val="en-US"/>
        </w:rPr>
        <w:t>10</w:t>
      </w:r>
      <w:r w:rsidRPr="008620C2">
        <w:rPr>
          <w:rFonts w:ascii="Verdana" w:hAnsi="Verdana"/>
          <w:lang w:val="en-US"/>
        </w:rPr>
        <w:t>.</w:t>
      </w:r>
    </w:p>
    <w:p w:rsidR="00F34DA7" w:rsidRDefault="00F34DA7" w:rsidP="009E4302">
      <w:pPr>
        <w:jc w:val="both"/>
        <w:rPr>
          <w:rFonts w:ascii="Verdana" w:hAnsi="Verdana"/>
          <w:lang w:val="en-US"/>
        </w:rPr>
      </w:pPr>
    </w:p>
    <w:p w:rsidR="0010517B" w:rsidRDefault="00BB2945" w:rsidP="00F34DA7">
      <w:pPr>
        <w:rPr>
          <w:rFonts w:ascii="Verdana" w:hAnsi="Verdana"/>
          <w:lang w:val="en-US"/>
        </w:rPr>
      </w:pPr>
      <w:r w:rsidRPr="00BB2945">
        <w:rPr>
          <w:rFonts w:ascii="Verdana" w:hAnsi="Verdana"/>
          <w:lang w:val="en-US"/>
        </w:rPr>
        <w:t xml:space="preserve"> </w:t>
      </w:r>
      <w:r w:rsidRPr="00BB2945">
        <w:rPr>
          <w:noProof/>
          <w:lang w:val="en-GB" w:eastAsia="en-GB"/>
        </w:rPr>
        <w:drawing>
          <wp:inline distT="0" distB="0" distL="0" distR="0" wp14:anchorId="3E9F6D89" wp14:editId="574A5E4D">
            <wp:extent cx="5760720" cy="1656046"/>
            <wp:effectExtent l="0" t="0" r="0" b="190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5760720" cy="1656046"/>
                    </a:xfrm>
                    <a:prstGeom prst="rect">
                      <a:avLst/>
                    </a:prstGeom>
                    <a:noFill/>
                    <a:ln>
                      <a:noFill/>
                    </a:ln>
                  </pic:spPr>
                </pic:pic>
              </a:graphicData>
            </a:graphic>
          </wp:inline>
        </w:drawing>
      </w:r>
    </w:p>
    <w:p w:rsidR="00F34DA7" w:rsidRPr="007853BA" w:rsidRDefault="00F34DA7" w:rsidP="00F34DA7">
      <w:pPr>
        <w:rPr>
          <w:rFonts w:ascii="Verdana" w:hAnsi="Verdana"/>
          <w:lang w:val="en-US"/>
        </w:rPr>
      </w:pPr>
      <w:r w:rsidRPr="007853BA">
        <w:rPr>
          <w:rFonts w:ascii="Verdana" w:hAnsi="Verdana"/>
          <w:lang w:val="en-US"/>
        </w:rPr>
        <w:t>Notes/explanations:</w:t>
      </w:r>
    </w:p>
    <w:p w:rsidR="00F34DA7" w:rsidRPr="007853BA" w:rsidRDefault="00F34DA7" w:rsidP="00F34DA7">
      <w:pPr>
        <w:rPr>
          <w:rFonts w:ascii="Verdana" w:hAnsi="Verdana"/>
          <w:b/>
          <w:lang w:val="en-US"/>
        </w:rPr>
      </w:pPr>
      <w:r w:rsidRPr="007853BA">
        <w:rPr>
          <w:rFonts w:ascii="Verdana" w:hAnsi="Verdana"/>
          <w:b/>
          <w:lang w:val="en-US"/>
        </w:rPr>
        <w:t>S.29.04</w:t>
      </w:r>
    </w:p>
    <w:p w:rsidR="00F34DA7" w:rsidRPr="007853BA" w:rsidRDefault="00F34DA7" w:rsidP="00F34DA7">
      <w:pPr>
        <w:rPr>
          <w:rFonts w:ascii="Verdana" w:hAnsi="Verdana"/>
          <w:lang w:val="en-US"/>
        </w:rPr>
      </w:pPr>
      <w:r w:rsidRPr="007853BA">
        <w:rPr>
          <w:rFonts w:ascii="Verdana" w:hAnsi="Verdana"/>
          <w:lang w:val="en-US"/>
        </w:rPr>
        <w:t xml:space="preserve">R0080/C0030: </w:t>
      </w:r>
      <w:r w:rsidRPr="008620C2">
        <w:rPr>
          <w:rFonts w:ascii="Verdana" w:hAnsi="Verdana"/>
          <w:lang w:val="en-US"/>
        </w:rPr>
        <w:t>the unearned premium amount is captured here, but not the future premium. (Future premiums are only captured in the variation of BE after the period) Since in this example unearned premium=0, R0080/C0030=0.</w:t>
      </w:r>
    </w:p>
    <w:p w:rsidR="00F34DA7" w:rsidRPr="007853BA" w:rsidRDefault="00F34DA7" w:rsidP="00F34DA7">
      <w:pPr>
        <w:rPr>
          <w:rFonts w:ascii="Verdana" w:hAnsi="Verdana"/>
          <w:lang w:val="en-US"/>
        </w:rPr>
      </w:pPr>
      <w:r w:rsidRPr="007853BA">
        <w:rPr>
          <w:rFonts w:ascii="Verdana" w:hAnsi="Verdana"/>
          <w:lang w:val="en-US"/>
        </w:rPr>
        <w:t>R0080/C0040: premiums earned</w:t>
      </w:r>
    </w:p>
    <w:p w:rsidR="00F34DA7" w:rsidRDefault="00F34DA7" w:rsidP="00F34DA7">
      <w:pPr>
        <w:jc w:val="both"/>
        <w:rPr>
          <w:rFonts w:ascii="Verdana" w:hAnsi="Verdana"/>
          <w:lang w:val="en-US"/>
        </w:rPr>
      </w:pPr>
      <w:r w:rsidRPr="007853BA">
        <w:rPr>
          <w:rFonts w:ascii="Verdana" w:hAnsi="Verdana"/>
          <w:lang w:val="en-US"/>
        </w:rPr>
        <w:t xml:space="preserve">R0110: </w:t>
      </w:r>
      <w:r w:rsidRPr="008620C2">
        <w:rPr>
          <w:rFonts w:ascii="Verdana" w:hAnsi="Verdana"/>
          <w:lang w:val="en-US"/>
        </w:rPr>
        <w:t xml:space="preserve">This is the variation of effects </w:t>
      </w:r>
      <w:r w:rsidR="00FD6484" w:rsidRPr="00BB09C7">
        <w:rPr>
          <w:rFonts w:ascii="Verdana" w:hAnsi="Verdana"/>
          <w:color w:val="FF0000"/>
          <w:lang w:val="en-US"/>
        </w:rPr>
        <w:t xml:space="preserve">directly linked to the acceptance of risks </w:t>
      </w:r>
      <w:r w:rsidRPr="008620C2">
        <w:rPr>
          <w:rFonts w:ascii="Verdana" w:hAnsi="Verdana"/>
          <w:lang w:val="en-US"/>
        </w:rPr>
        <w:t xml:space="preserve">captured in </w:t>
      </w:r>
      <w:r w:rsidRPr="00BB09C7">
        <w:rPr>
          <w:rFonts w:ascii="Verdana" w:hAnsi="Verdana"/>
          <w:color w:val="FF0000"/>
          <w:lang w:val="en-US"/>
        </w:rPr>
        <w:t>R0</w:t>
      </w:r>
      <w:r w:rsidR="0090642A" w:rsidRPr="00BB09C7">
        <w:rPr>
          <w:rFonts w:ascii="Verdana" w:hAnsi="Verdana"/>
          <w:color w:val="FF0000"/>
          <w:lang w:val="en-US"/>
        </w:rPr>
        <w:t>19</w:t>
      </w:r>
      <w:r w:rsidRPr="00BB09C7">
        <w:rPr>
          <w:rFonts w:ascii="Verdana" w:hAnsi="Verdana"/>
          <w:color w:val="FF0000"/>
          <w:lang w:val="en-US"/>
        </w:rPr>
        <w:t>0</w:t>
      </w:r>
      <w:r w:rsidRPr="008620C2">
        <w:rPr>
          <w:rFonts w:ascii="Verdana" w:hAnsi="Verdana"/>
          <w:lang w:val="en-US"/>
        </w:rPr>
        <w:t xml:space="preserve"> up to R0</w:t>
      </w:r>
      <w:r w:rsidRPr="00BB09C7">
        <w:rPr>
          <w:rFonts w:ascii="Verdana" w:hAnsi="Verdana"/>
          <w:color w:val="FF0000"/>
          <w:lang w:val="en-US"/>
        </w:rPr>
        <w:t>2</w:t>
      </w:r>
      <w:r w:rsidR="002460BD" w:rsidRPr="00BB09C7">
        <w:rPr>
          <w:rFonts w:ascii="Verdana" w:hAnsi="Verdana"/>
          <w:color w:val="FF0000"/>
          <w:lang w:val="en-US"/>
        </w:rPr>
        <w:t>5</w:t>
      </w:r>
      <w:r w:rsidRPr="00BB09C7">
        <w:rPr>
          <w:rFonts w:ascii="Verdana" w:hAnsi="Verdana"/>
          <w:color w:val="FF0000"/>
          <w:lang w:val="en-US"/>
        </w:rPr>
        <w:t>0</w:t>
      </w:r>
      <w:r w:rsidRPr="008620C2">
        <w:rPr>
          <w:rFonts w:ascii="Verdana" w:hAnsi="Verdana"/>
          <w:lang w:val="en-US"/>
        </w:rPr>
        <w:t xml:space="preserve"> in the S.29.03, i.e. </w:t>
      </w:r>
      <w:r w:rsidR="00CC6C48" w:rsidRPr="00BB09C7">
        <w:rPr>
          <w:rFonts w:ascii="Verdana" w:hAnsi="Verdana"/>
          <w:color w:val="FF0000"/>
          <w:lang w:val="en-US"/>
        </w:rPr>
        <w:t xml:space="preserve">18 but split by periods. </w:t>
      </w:r>
      <w:r w:rsidRPr="00BB09C7">
        <w:rPr>
          <w:rFonts w:ascii="Verdana" w:hAnsi="Verdana"/>
          <w:color w:val="FF0000"/>
          <w:lang w:val="en-US"/>
        </w:rPr>
        <w:t>-10</w:t>
      </w:r>
      <w:r w:rsidR="00CC6C48" w:rsidRPr="00BB09C7">
        <w:rPr>
          <w:rFonts w:ascii="Verdana" w:hAnsi="Verdana"/>
          <w:color w:val="FF0000"/>
          <w:lang w:val="en-US"/>
        </w:rPr>
        <w:t xml:space="preserve"> f</w:t>
      </w:r>
      <w:r w:rsidRPr="00BB09C7">
        <w:rPr>
          <w:rFonts w:ascii="Verdana" w:hAnsi="Verdana"/>
          <w:color w:val="FF0000"/>
          <w:lang w:val="en-US"/>
        </w:rPr>
        <w:t xml:space="preserve">or </w:t>
      </w:r>
      <w:r w:rsidRPr="008620C2">
        <w:rPr>
          <w:rFonts w:ascii="Verdana" w:hAnsi="Verdana"/>
          <w:lang w:val="en-US"/>
        </w:rPr>
        <w:t>risks covered after the period (S.29.03.R0190) and +28 for risks covered during the period (S.29.03.R0200).</w:t>
      </w:r>
    </w:p>
    <w:p w:rsidR="00F34DA7" w:rsidRDefault="00F34DA7" w:rsidP="007853BA">
      <w:pPr>
        <w:jc w:val="both"/>
        <w:rPr>
          <w:rFonts w:ascii="Verdana" w:hAnsi="Verdana"/>
          <w:lang w:val="en-US"/>
        </w:rPr>
      </w:pPr>
      <w:r w:rsidRPr="007853BA">
        <w:rPr>
          <w:rFonts w:ascii="Verdana" w:hAnsi="Verdana"/>
          <w:lang w:val="en-US"/>
        </w:rPr>
        <w:t xml:space="preserve">R0140: </w:t>
      </w:r>
      <w:r w:rsidRPr="008620C2">
        <w:rPr>
          <w:rFonts w:ascii="Verdana" w:hAnsi="Verdana"/>
          <w:lang w:val="en-US"/>
        </w:rPr>
        <w:t xml:space="preserve">Note that the amount reported in S.29.03/R0360 and S.29.04/R0140 </w:t>
      </w:r>
      <w:r w:rsidRPr="00EA393A">
        <w:rPr>
          <w:rFonts w:ascii="Verdana" w:hAnsi="Verdana"/>
          <w:lang w:val="en-US"/>
        </w:rPr>
        <w:t xml:space="preserve">should be the same with </w:t>
      </w:r>
      <w:r w:rsidR="00EA393A">
        <w:rPr>
          <w:rFonts w:ascii="Verdana" w:hAnsi="Verdana"/>
          <w:lang w:val="en-US"/>
        </w:rPr>
        <w:t>same</w:t>
      </w:r>
      <w:r w:rsidR="00EA393A" w:rsidRPr="00EA393A">
        <w:rPr>
          <w:rFonts w:ascii="Verdana" w:hAnsi="Verdana"/>
          <w:lang w:val="en-US"/>
        </w:rPr>
        <w:t xml:space="preserve"> </w:t>
      </w:r>
      <w:r w:rsidRPr="00EA393A">
        <w:rPr>
          <w:rFonts w:ascii="Verdana" w:hAnsi="Verdana"/>
          <w:lang w:val="en-US"/>
        </w:rPr>
        <w:t>signs</w:t>
      </w:r>
      <w:r w:rsidRPr="008620C2">
        <w:rPr>
          <w:rFonts w:ascii="Verdana" w:hAnsi="Verdana"/>
          <w:lang w:val="en-US"/>
        </w:rPr>
        <w:t xml:space="preserve"> (this can only hold if either analysis is performed on a segment/LOB basis and if there are no unexplained changes in R0260 in S.29.03).</w:t>
      </w:r>
    </w:p>
    <w:p w:rsidR="008230DC" w:rsidRDefault="008230DC">
      <w:pPr>
        <w:rPr>
          <w:rFonts w:ascii="Verdana" w:hAnsi="Verdana"/>
          <w:lang w:val="en-US"/>
        </w:rPr>
      </w:pPr>
      <w:r>
        <w:rPr>
          <w:rFonts w:ascii="Verdana" w:hAnsi="Verdana"/>
          <w:lang w:val="en-US"/>
        </w:rPr>
        <w:br w:type="page"/>
      </w:r>
    </w:p>
    <w:p w:rsidR="00262FAF" w:rsidRPr="007853BA" w:rsidRDefault="00262FAF" w:rsidP="00262FAF">
      <w:pPr>
        <w:pStyle w:val="Heading1"/>
        <w:rPr>
          <w:rFonts w:ascii="Verdana" w:hAnsi="Verdana"/>
          <w:sz w:val="22"/>
          <w:lang w:val="en-US"/>
        </w:rPr>
      </w:pPr>
      <w:r w:rsidRPr="007853BA">
        <w:rPr>
          <w:rFonts w:ascii="Verdana" w:hAnsi="Verdana"/>
          <w:sz w:val="22"/>
          <w:lang w:val="en-US"/>
        </w:rPr>
        <w:t xml:space="preserve">Case </w:t>
      </w:r>
      <w:r w:rsidRPr="008620C2">
        <w:rPr>
          <w:rFonts w:ascii="Verdana" w:hAnsi="Verdana"/>
          <w:sz w:val="22"/>
          <w:lang w:val="en-US"/>
        </w:rPr>
        <w:t>6B: New business, one-year contract, incepting 01.07. with up-front premium</w:t>
      </w:r>
    </w:p>
    <w:p w:rsidR="00046275" w:rsidRDefault="00CB2EEC" w:rsidP="00D26C11">
      <w:pPr>
        <w:jc w:val="both"/>
        <w:rPr>
          <w:rFonts w:ascii="Verdana" w:hAnsi="Verdana"/>
          <w:lang w:val="en-US"/>
        </w:rPr>
      </w:pPr>
      <w:r w:rsidRPr="00CB2EEC">
        <w:rPr>
          <w:noProof/>
          <w:lang w:val="en-GB" w:eastAsia="en-GB"/>
        </w:rPr>
        <w:drawing>
          <wp:inline distT="0" distB="0" distL="0" distR="0" wp14:anchorId="09277201" wp14:editId="75CA1933">
            <wp:extent cx="5760720" cy="2807697"/>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5760720" cy="2807697"/>
                    </a:xfrm>
                    <a:prstGeom prst="rect">
                      <a:avLst/>
                    </a:prstGeom>
                    <a:noFill/>
                    <a:ln>
                      <a:noFill/>
                    </a:ln>
                  </pic:spPr>
                </pic:pic>
              </a:graphicData>
            </a:graphic>
          </wp:inline>
        </w:drawing>
      </w:r>
    </w:p>
    <w:p w:rsidR="00046275" w:rsidRDefault="00046275" w:rsidP="00D26C11">
      <w:pPr>
        <w:jc w:val="both"/>
        <w:rPr>
          <w:rFonts w:ascii="Verdana" w:hAnsi="Verdana"/>
          <w:lang w:val="en-US"/>
        </w:rPr>
      </w:pPr>
    </w:p>
    <w:p w:rsidR="00046275" w:rsidRDefault="00CC6C48" w:rsidP="00D26C11">
      <w:pPr>
        <w:jc w:val="both"/>
        <w:rPr>
          <w:rFonts w:ascii="Verdana" w:hAnsi="Verdana"/>
          <w:lang w:val="en-US"/>
        </w:rPr>
      </w:pPr>
      <w:r w:rsidRPr="00CC6C48">
        <w:rPr>
          <w:rFonts w:ascii="Verdana" w:hAnsi="Verdana"/>
          <w:lang w:val="en-US"/>
        </w:rPr>
        <w:t xml:space="preserve"> </w:t>
      </w:r>
      <w:r w:rsidRPr="00CC6C48">
        <w:rPr>
          <w:noProof/>
          <w:lang w:val="en-GB" w:eastAsia="en-GB"/>
        </w:rPr>
        <w:drawing>
          <wp:inline distT="0" distB="0" distL="0" distR="0" wp14:anchorId="08780885" wp14:editId="52702AAD">
            <wp:extent cx="5361940" cy="194564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5361940" cy="1945640"/>
                    </a:xfrm>
                    <a:prstGeom prst="rect">
                      <a:avLst/>
                    </a:prstGeom>
                    <a:noFill/>
                    <a:ln>
                      <a:noFill/>
                    </a:ln>
                  </pic:spPr>
                </pic:pic>
              </a:graphicData>
            </a:graphic>
          </wp:inline>
        </w:drawing>
      </w:r>
    </w:p>
    <w:p w:rsidR="00046275" w:rsidRDefault="00046275" w:rsidP="00D26C11">
      <w:pPr>
        <w:jc w:val="both"/>
        <w:rPr>
          <w:rFonts w:ascii="Verdana" w:hAnsi="Verdana"/>
          <w:lang w:val="en-US"/>
        </w:rPr>
      </w:pPr>
    </w:p>
    <w:p w:rsidR="00046275" w:rsidRDefault="00CB2EEC" w:rsidP="00D26C11">
      <w:pPr>
        <w:jc w:val="both"/>
        <w:rPr>
          <w:rFonts w:ascii="Verdana" w:hAnsi="Verdana"/>
          <w:lang w:val="en-US"/>
        </w:rPr>
      </w:pPr>
      <w:r w:rsidRPr="00CB2EEC">
        <w:rPr>
          <w:noProof/>
          <w:lang w:val="en-GB" w:eastAsia="en-GB"/>
        </w:rPr>
        <w:drawing>
          <wp:inline distT="0" distB="0" distL="0" distR="0" wp14:anchorId="7454F618" wp14:editId="4BFD1281">
            <wp:extent cx="5757062" cy="6532473"/>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58">
                      <a:extLst>
                        <a:ext uri="{28A0092B-C50C-407E-A947-70E740481C1C}">
                          <a14:useLocalDpi xmlns:a14="http://schemas.microsoft.com/office/drawing/2010/main" val="0"/>
                        </a:ext>
                      </a:extLst>
                    </a:blip>
                    <a:srcRect b="837"/>
                    <a:stretch/>
                  </pic:blipFill>
                  <pic:spPr bwMode="auto">
                    <a:xfrm>
                      <a:off x="0" y="0"/>
                      <a:ext cx="5760720" cy="6536624"/>
                    </a:xfrm>
                    <a:prstGeom prst="rect">
                      <a:avLst/>
                    </a:prstGeom>
                    <a:noFill/>
                    <a:ln>
                      <a:noFill/>
                    </a:ln>
                    <a:extLst>
                      <a:ext uri="{53640926-AAD7-44D8-BBD7-CCE9431645EC}">
                        <a14:shadowObscured xmlns:a14="http://schemas.microsoft.com/office/drawing/2010/main"/>
                      </a:ext>
                    </a:extLst>
                  </pic:spPr>
                </pic:pic>
              </a:graphicData>
            </a:graphic>
          </wp:inline>
        </w:drawing>
      </w:r>
    </w:p>
    <w:p w:rsidR="00046275" w:rsidRPr="007853BA" w:rsidRDefault="00046275" w:rsidP="00046275">
      <w:pPr>
        <w:rPr>
          <w:rFonts w:ascii="Verdana" w:hAnsi="Verdana"/>
          <w:lang w:val="en-US"/>
        </w:rPr>
      </w:pPr>
      <w:r w:rsidRPr="007853BA">
        <w:rPr>
          <w:rFonts w:ascii="Verdana" w:hAnsi="Verdana"/>
          <w:lang w:val="en-US"/>
        </w:rPr>
        <w:t>Notes/explanations:</w:t>
      </w:r>
    </w:p>
    <w:p w:rsidR="00046275" w:rsidRPr="007853BA" w:rsidRDefault="00046275" w:rsidP="00046275">
      <w:pPr>
        <w:rPr>
          <w:rFonts w:ascii="Verdana" w:hAnsi="Verdana"/>
          <w:b/>
          <w:lang w:val="en-US"/>
        </w:rPr>
      </w:pPr>
      <w:r w:rsidRPr="007853BA">
        <w:rPr>
          <w:rFonts w:ascii="Verdana" w:hAnsi="Verdana"/>
          <w:b/>
          <w:lang w:val="en-US"/>
        </w:rPr>
        <w:t>S.29.03</w:t>
      </w:r>
    </w:p>
    <w:p w:rsidR="005A5DC4" w:rsidRPr="007853BA" w:rsidRDefault="00046275" w:rsidP="005A5DC4">
      <w:pPr>
        <w:rPr>
          <w:rFonts w:ascii="Verdana" w:hAnsi="Verdana"/>
          <w:lang w:val="en-US"/>
        </w:rPr>
      </w:pPr>
      <w:r w:rsidRPr="007853BA">
        <w:rPr>
          <w:rFonts w:ascii="Verdana" w:hAnsi="Verdana"/>
          <w:lang w:val="en-US"/>
        </w:rPr>
        <w:t xml:space="preserve">R0190: part corresponding to risks after the period: </w:t>
      </w:r>
      <w:r w:rsidR="005A5DC4" w:rsidRPr="008620C2">
        <w:rPr>
          <w:rFonts w:ascii="Verdana" w:hAnsi="Verdana"/>
          <w:lang w:val="en-US"/>
        </w:rPr>
        <w:t xml:space="preserve">Premium Provision @t=1=0.8*50=40. </w:t>
      </w:r>
    </w:p>
    <w:p w:rsidR="005A5DC4" w:rsidRPr="007853BA" w:rsidRDefault="005A5DC4" w:rsidP="005A5DC4">
      <w:pPr>
        <w:rPr>
          <w:rFonts w:ascii="Verdana" w:hAnsi="Verdana"/>
          <w:lang w:val="en-US"/>
        </w:rPr>
      </w:pPr>
      <w:r w:rsidRPr="007853BA">
        <w:rPr>
          <w:rFonts w:ascii="Verdana" w:hAnsi="Verdana"/>
          <w:lang w:val="en-US"/>
        </w:rPr>
        <w:t>Note that in this example PVFP (present value of future premium) =0, but</w:t>
      </w:r>
    </w:p>
    <w:p w:rsidR="005A5DC4" w:rsidRPr="007853BA" w:rsidRDefault="005A5DC4" w:rsidP="005A5DC4">
      <w:pPr>
        <w:rPr>
          <w:rFonts w:ascii="Verdana" w:hAnsi="Verdana"/>
          <w:lang w:val="en-US"/>
        </w:rPr>
      </w:pPr>
      <w:r w:rsidRPr="007853BA">
        <w:rPr>
          <w:rFonts w:ascii="Verdana" w:hAnsi="Verdana"/>
          <w:lang w:val="en-US"/>
        </w:rPr>
        <w:t xml:space="preserve">unearned premium=100*0,5=50. </w:t>
      </w:r>
      <w:r w:rsidRPr="008620C2">
        <w:rPr>
          <w:rFonts w:ascii="Verdana" w:hAnsi="Verdana"/>
          <w:lang w:val="en-US"/>
        </w:rPr>
        <w:t xml:space="preserve">Accordingly the upfront premium leads to an increase in the premium provision. </w:t>
      </w:r>
    </w:p>
    <w:p w:rsidR="005A5DC4" w:rsidRPr="007853BA" w:rsidRDefault="00046275" w:rsidP="005A5DC4">
      <w:pPr>
        <w:rPr>
          <w:rFonts w:ascii="Verdana" w:hAnsi="Verdana"/>
          <w:lang w:val="en-US"/>
        </w:rPr>
      </w:pPr>
      <w:r w:rsidRPr="007853BA">
        <w:rPr>
          <w:rFonts w:ascii="Verdana" w:hAnsi="Verdana"/>
          <w:lang w:val="en-US"/>
        </w:rPr>
        <w:t xml:space="preserve">R0200: </w:t>
      </w:r>
      <w:r w:rsidR="005A5DC4" w:rsidRPr="008620C2">
        <w:rPr>
          <w:rFonts w:ascii="Verdana" w:hAnsi="Verdana"/>
          <w:lang w:val="en-US"/>
        </w:rPr>
        <w:t>The upfront premium does not change the claims provision since the earned premium remains unchanged.</w:t>
      </w:r>
    </w:p>
    <w:p w:rsidR="005A5DC4" w:rsidRPr="007853BA" w:rsidRDefault="005A5DC4" w:rsidP="005A5DC4">
      <w:pPr>
        <w:rPr>
          <w:rFonts w:ascii="Verdana" w:hAnsi="Verdana"/>
          <w:lang w:val="en-US"/>
        </w:rPr>
      </w:pPr>
      <w:r w:rsidRPr="007853BA">
        <w:rPr>
          <w:rFonts w:ascii="Verdana" w:hAnsi="Verdana"/>
          <w:lang w:val="en-US"/>
        </w:rPr>
        <w:t>CP@t=1=0.8*50*(1-0.3)=28</w:t>
      </w:r>
    </w:p>
    <w:p w:rsidR="005A5DC4" w:rsidRPr="007853BA" w:rsidRDefault="005A5DC4" w:rsidP="005A5DC4">
      <w:pPr>
        <w:rPr>
          <w:rFonts w:ascii="Verdana" w:hAnsi="Verdana"/>
          <w:lang w:val="en-US"/>
        </w:rPr>
      </w:pPr>
      <w:r w:rsidRPr="007853BA">
        <w:rPr>
          <w:rFonts w:ascii="Verdana" w:hAnsi="Verdana"/>
          <w:lang w:val="en-US"/>
        </w:rPr>
        <w:t xml:space="preserve">This is, CP @t=1=loss ratio *earned </w:t>
      </w:r>
      <w:r w:rsidRPr="008620C2">
        <w:rPr>
          <w:rFonts w:ascii="Verdana" w:hAnsi="Verdana"/>
          <w:lang w:val="en-US"/>
        </w:rPr>
        <w:t>premium-claims paid during period</w:t>
      </w:r>
    </w:p>
    <w:p w:rsidR="005A5DC4" w:rsidRPr="007853BA" w:rsidRDefault="005A5DC4" w:rsidP="005A5DC4">
      <w:pPr>
        <w:rPr>
          <w:rFonts w:ascii="Verdana" w:hAnsi="Verdana"/>
          <w:lang w:val="en-US"/>
        </w:rPr>
      </w:pPr>
      <w:r w:rsidRPr="007853BA">
        <w:rPr>
          <w:rFonts w:ascii="Verdana" w:hAnsi="Verdana"/>
          <w:lang w:val="en-US"/>
        </w:rPr>
        <w:t>R0320:</w:t>
      </w:r>
      <w:r w:rsidRPr="008620C2">
        <w:rPr>
          <w:rFonts w:ascii="Verdana" w:hAnsi="Verdana"/>
          <w:lang w:val="en-US"/>
        </w:rPr>
        <w:t>0.8*50*0.3=12</w:t>
      </w:r>
    </w:p>
    <w:p w:rsidR="00046275" w:rsidRPr="007853BA" w:rsidRDefault="00046275" w:rsidP="00046275">
      <w:pPr>
        <w:jc w:val="both"/>
        <w:rPr>
          <w:rFonts w:ascii="Verdana" w:hAnsi="Verdana"/>
          <w:lang w:val="en-US"/>
        </w:rPr>
      </w:pPr>
      <w:r w:rsidRPr="007853BA">
        <w:rPr>
          <w:rFonts w:ascii="Verdana" w:hAnsi="Verdana"/>
          <w:lang w:val="en-US"/>
        </w:rPr>
        <w:t>R0360: Reflects the full impact in the EoAoL, i.e. the variation in the best estimate (</w:t>
      </w:r>
      <w:r w:rsidR="005A5DC4" w:rsidRPr="008620C2">
        <w:rPr>
          <w:rFonts w:ascii="Verdana" w:hAnsi="Verdana"/>
          <w:lang w:val="en-US"/>
        </w:rPr>
        <w:t>-6</w:t>
      </w:r>
      <w:r w:rsidRPr="008620C2">
        <w:rPr>
          <w:rFonts w:ascii="Verdana" w:hAnsi="Verdana"/>
          <w:lang w:val="en-US"/>
        </w:rPr>
        <w:t>8) and the impact of the technical flows (</w:t>
      </w:r>
      <w:r w:rsidR="005A5DC4" w:rsidRPr="008620C2">
        <w:rPr>
          <w:rFonts w:ascii="Verdana" w:hAnsi="Verdana"/>
          <w:lang w:val="en-US"/>
        </w:rPr>
        <w:t>7</w:t>
      </w:r>
      <w:r w:rsidRPr="008620C2">
        <w:rPr>
          <w:rFonts w:ascii="Verdana" w:hAnsi="Verdana"/>
          <w:lang w:val="en-US"/>
        </w:rPr>
        <w:t>8), summing 10</w:t>
      </w:r>
    </w:p>
    <w:p w:rsidR="00454DC3" w:rsidRDefault="00CB2EEC" w:rsidP="00046275">
      <w:pPr>
        <w:jc w:val="both"/>
        <w:rPr>
          <w:rFonts w:ascii="Verdana" w:hAnsi="Verdana"/>
          <w:lang w:val="en-US"/>
        </w:rPr>
      </w:pPr>
      <w:r w:rsidRPr="00CB2EEC">
        <w:rPr>
          <w:noProof/>
          <w:lang w:val="en-GB" w:eastAsia="en-GB"/>
        </w:rPr>
        <w:drawing>
          <wp:inline distT="0" distB="0" distL="0" distR="0" wp14:anchorId="5ADCF4F3" wp14:editId="41422AFF">
            <wp:extent cx="5760720" cy="1657888"/>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5760720" cy="1657888"/>
                    </a:xfrm>
                    <a:prstGeom prst="rect">
                      <a:avLst/>
                    </a:prstGeom>
                    <a:noFill/>
                    <a:ln>
                      <a:noFill/>
                    </a:ln>
                  </pic:spPr>
                </pic:pic>
              </a:graphicData>
            </a:graphic>
          </wp:inline>
        </w:drawing>
      </w:r>
    </w:p>
    <w:p w:rsidR="00DD416A" w:rsidRDefault="00B357EC" w:rsidP="00454DC3">
      <w:pPr>
        <w:rPr>
          <w:rFonts w:ascii="Verdana" w:hAnsi="Verdana"/>
          <w:b/>
          <w:lang w:val="en-US"/>
        </w:rPr>
      </w:pPr>
      <w:r w:rsidRPr="00B357EC">
        <w:rPr>
          <w:rFonts w:ascii="Verdana" w:hAnsi="Verdana"/>
          <w:b/>
          <w:lang w:val="en-US"/>
        </w:rPr>
        <w:t xml:space="preserve"> </w:t>
      </w:r>
    </w:p>
    <w:p w:rsidR="00454DC3" w:rsidRPr="007853BA" w:rsidRDefault="00454DC3" w:rsidP="00454DC3">
      <w:pPr>
        <w:rPr>
          <w:rFonts w:ascii="Verdana" w:hAnsi="Verdana"/>
          <w:b/>
          <w:lang w:val="en-US"/>
        </w:rPr>
      </w:pPr>
      <w:r w:rsidRPr="007853BA">
        <w:rPr>
          <w:rFonts w:ascii="Verdana" w:hAnsi="Verdana"/>
          <w:b/>
          <w:lang w:val="en-US"/>
        </w:rPr>
        <w:t>S.29.04</w:t>
      </w:r>
    </w:p>
    <w:p w:rsidR="00454DC3" w:rsidRPr="007853BA" w:rsidRDefault="00454DC3" w:rsidP="00454DC3">
      <w:pPr>
        <w:rPr>
          <w:rFonts w:ascii="Verdana" w:hAnsi="Verdana"/>
          <w:lang w:val="en-US"/>
        </w:rPr>
      </w:pPr>
      <w:r w:rsidRPr="007853BA">
        <w:rPr>
          <w:rFonts w:ascii="Verdana" w:hAnsi="Verdana"/>
          <w:lang w:val="en-US"/>
        </w:rPr>
        <w:t xml:space="preserve">R0080/C0030: </w:t>
      </w:r>
      <w:r w:rsidRPr="008620C2">
        <w:rPr>
          <w:rFonts w:ascii="Verdana" w:hAnsi="Verdana"/>
          <w:lang w:val="en-US"/>
        </w:rPr>
        <w:t>In this example unearned premium=50 % written premium=50, thus R0080/C0030=0.</w:t>
      </w:r>
    </w:p>
    <w:p w:rsidR="00454DC3" w:rsidRPr="007853BA" w:rsidRDefault="00454DC3" w:rsidP="00454DC3">
      <w:pPr>
        <w:rPr>
          <w:rFonts w:ascii="Verdana" w:hAnsi="Verdana"/>
          <w:lang w:val="en-US"/>
        </w:rPr>
      </w:pPr>
      <w:r w:rsidRPr="007853BA">
        <w:rPr>
          <w:rFonts w:ascii="Verdana" w:hAnsi="Verdana"/>
          <w:lang w:val="en-US"/>
        </w:rPr>
        <w:t>R0080/C0040: premiums earned</w:t>
      </w:r>
    </w:p>
    <w:p w:rsidR="00454DC3" w:rsidRDefault="00454DC3" w:rsidP="00454DC3">
      <w:pPr>
        <w:jc w:val="both"/>
        <w:rPr>
          <w:rFonts w:ascii="Verdana" w:hAnsi="Verdana"/>
          <w:lang w:val="en-US"/>
        </w:rPr>
      </w:pPr>
      <w:r w:rsidRPr="007853BA">
        <w:rPr>
          <w:rFonts w:ascii="Verdana" w:hAnsi="Verdana"/>
          <w:lang w:val="en-US"/>
        </w:rPr>
        <w:t xml:space="preserve">R0110: </w:t>
      </w:r>
      <w:r w:rsidRPr="008620C2">
        <w:rPr>
          <w:rFonts w:ascii="Verdana" w:hAnsi="Verdana"/>
          <w:lang w:val="en-US"/>
        </w:rPr>
        <w:t xml:space="preserve">This is the variation of effects </w:t>
      </w:r>
      <w:r w:rsidR="00CC6C48" w:rsidRPr="00BB09C7">
        <w:rPr>
          <w:rFonts w:ascii="Verdana" w:hAnsi="Verdana"/>
          <w:color w:val="FF0000"/>
          <w:lang w:val="en-US"/>
        </w:rPr>
        <w:t xml:space="preserve">directly linked to the acceptance of risks </w:t>
      </w:r>
      <w:r w:rsidRPr="008620C2">
        <w:rPr>
          <w:rFonts w:ascii="Verdana" w:hAnsi="Verdana"/>
          <w:lang w:val="en-US"/>
        </w:rPr>
        <w:t xml:space="preserve">captured in </w:t>
      </w:r>
      <w:r w:rsidRPr="00BB09C7">
        <w:rPr>
          <w:rFonts w:ascii="Verdana" w:hAnsi="Verdana"/>
          <w:color w:val="FF0000"/>
          <w:lang w:val="en-US"/>
        </w:rPr>
        <w:t>R01</w:t>
      </w:r>
      <w:r w:rsidR="0090642A" w:rsidRPr="00BB09C7">
        <w:rPr>
          <w:rFonts w:ascii="Verdana" w:hAnsi="Verdana"/>
          <w:color w:val="FF0000"/>
          <w:lang w:val="en-US"/>
        </w:rPr>
        <w:t>9</w:t>
      </w:r>
      <w:r w:rsidRPr="00BB09C7">
        <w:rPr>
          <w:rFonts w:ascii="Verdana" w:hAnsi="Verdana"/>
          <w:color w:val="FF0000"/>
          <w:lang w:val="en-US"/>
        </w:rPr>
        <w:t>0</w:t>
      </w:r>
      <w:r w:rsidRPr="008620C2">
        <w:rPr>
          <w:rFonts w:ascii="Verdana" w:hAnsi="Verdana"/>
          <w:lang w:val="en-US"/>
        </w:rPr>
        <w:t xml:space="preserve"> up to </w:t>
      </w:r>
      <w:r w:rsidRPr="00BB09C7">
        <w:rPr>
          <w:rFonts w:ascii="Verdana" w:hAnsi="Verdana"/>
          <w:color w:val="FF0000"/>
          <w:lang w:val="en-US"/>
        </w:rPr>
        <w:t>R02</w:t>
      </w:r>
      <w:r w:rsidR="00CC6C48" w:rsidRPr="00BB09C7">
        <w:rPr>
          <w:rFonts w:ascii="Verdana" w:hAnsi="Verdana"/>
          <w:color w:val="FF0000"/>
          <w:lang w:val="en-US"/>
        </w:rPr>
        <w:t>5</w:t>
      </w:r>
      <w:r w:rsidRPr="00BB09C7">
        <w:rPr>
          <w:rFonts w:ascii="Verdana" w:hAnsi="Verdana"/>
          <w:color w:val="FF0000"/>
          <w:lang w:val="en-US"/>
        </w:rPr>
        <w:t>0</w:t>
      </w:r>
      <w:r w:rsidRPr="008620C2">
        <w:rPr>
          <w:rFonts w:ascii="Verdana" w:hAnsi="Verdana"/>
          <w:lang w:val="en-US"/>
        </w:rPr>
        <w:t xml:space="preserve"> in the S.29.03, i.e. </w:t>
      </w:r>
      <w:r w:rsidR="00CC6C48" w:rsidRPr="00BB09C7">
        <w:rPr>
          <w:rFonts w:ascii="Verdana" w:hAnsi="Verdana"/>
          <w:color w:val="FF0000"/>
          <w:lang w:val="en-US"/>
        </w:rPr>
        <w:t>68 but split by periods.</w:t>
      </w:r>
      <w:r w:rsidR="00CC6C48" w:rsidRPr="008620C2">
        <w:rPr>
          <w:rFonts w:ascii="Verdana" w:hAnsi="Verdana"/>
          <w:lang w:val="en-US"/>
        </w:rPr>
        <w:t xml:space="preserve"> </w:t>
      </w:r>
      <w:r w:rsidRPr="008620C2">
        <w:rPr>
          <w:rFonts w:ascii="Verdana" w:hAnsi="Verdana"/>
          <w:lang w:val="en-US"/>
        </w:rPr>
        <w:t>40 for risks covered after the period (S.29.03.R0190) and 28 for risks covered during the period (S.29.03.R0200).</w:t>
      </w:r>
    </w:p>
    <w:p w:rsidR="00454DC3" w:rsidRPr="007853BA" w:rsidRDefault="00454DC3" w:rsidP="007853BA">
      <w:pPr>
        <w:jc w:val="both"/>
        <w:rPr>
          <w:rFonts w:ascii="Verdana" w:hAnsi="Verdana"/>
          <w:lang w:val="en-US"/>
        </w:rPr>
      </w:pPr>
      <w:r w:rsidRPr="007853BA">
        <w:rPr>
          <w:rFonts w:ascii="Verdana" w:hAnsi="Verdana"/>
          <w:lang w:val="en-US"/>
        </w:rPr>
        <w:t xml:space="preserve">R0140: </w:t>
      </w:r>
      <w:r w:rsidRPr="008620C2">
        <w:rPr>
          <w:rFonts w:ascii="Verdana" w:hAnsi="Verdana"/>
          <w:lang w:val="en-US"/>
        </w:rPr>
        <w:t xml:space="preserve">Note that the amount reported in S.29.03/R0360 and S.29.04/R0140 should </w:t>
      </w:r>
      <w:r w:rsidRPr="00EA393A">
        <w:rPr>
          <w:rFonts w:ascii="Verdana" w:hAnsi="Verdana"/>
          <w:lang w:val="en-US"/>
        </w:rPr>
        <w:t xml:space="preserve">be the same with </w:t>
      </w:r>
      <w:r w:rsidR="00EA393A">
        <w:rPr>
          <w:rFonts w:ascii="Verdana" w:hAnsi="Verdana"/>
          <w:lang w:val="en-US"/>
        </w:rPr>
        <w:t>same</w:t>
      </w:r>
      <w:r w:rsidRPr="00EA393A">
        <w:rPr>
          <w:rFonts w:ascii="Verdana" w:hAnsi="Verdana"/>
          <w:lang w:val="en-US"/>
        </w:rPr>
        <w:t xml:space="preserve"> signs</w:t>
      </w:r>
      <w:r w:rsidRPr="008620C2">
        <w:rPr>
          <w:rFonts w:ascii="Verdana" w:hAnsi="Verdana"/>
          <w:lang w:val="en-US"/>
        </w:rPr>
        <w:t xml:space="preserve"> (this can only hold if either analysis is performed on a segment/LOB basis and if there are no unexplained changes in R0260 in S.29.03).</w:t>
      </w:r>
    </w:p>
    <w:p w:rsidR="00C57FCB" w:rsidRDefault="00C57FCB" w:rsidP="00C57FCB">
      <w:pPr>
        <w:pStyle w:val="Heading1"/>
        <w:rPr>
          <w:rFonts w:ascii="Verdana" w:hAnsi="Verdana"/>
          <w:sz w:val="22"/>
          <w:lang w:val="en-US"/>
        </w:rPr>
      </w:pPr>
      <w:r w:rsidRPr="007853BA">
        <w:rPr>
          <w:rFonts w:ascii="Verdana" w:hAnsi="Verdana"/>
          <w:sz w:val="22"/>
          <w:lang w:val="en-US"/>
        </w:rPr>
        <w:t xml:space="preserve">Case </w:t>
      </w:r>
      <w:r>
        <w:rPr>
          <w:rFonts w:ascii="Verdana" w:hAnsi="Verdana"/>
          <w:sz w:val="22"/>
          <w:lang w:val="en-US"/>
        </w:rPr>
        <w:t>7</w:t>
      </w:r>
      <w:r w:rsidRPr="008620C2">
        <w:rPr>
          <w:rFonts w:ascii="Verdana" w:hAnsi="Verdana"/>
          <w:sz w:val="22"/>
          <w:lang w:val="en-US"/>
        </w:rPr>
        <w:t xml:space="preserve">: </w:t>
      </w:r>
      <w:r w:rsidR="002A3D11">
        <w:rPr>
          <w:rFonts w:ascii="Verdana" w:hAnsi="Verdana"/>
          <w:sz w:val="22"/>
          <w:lang w:val="en-US"/>
        </w:rPr>
        <w:t>I</w:t>
      </w:r>
      <w:r w:rsidR="002A3D11" w:rsidRPr="00117899">
        <w:rPr>
          <w:rFonts w:ascii="Verdana" w:hAnsi="Verdana"/>
          <w:sz w:val="22"/>
          <w:lang w:val="en-US"/>
        </w:rPr>
        <w:t>ndex-linked and unit-linked</w:t>
      </w:r>
    </w:p>
    <w:p w:rsidR="000272CD" w:rsidRDefault="000272CD">
      <w:pPr>
        <w:rPr>
          <w:rFonts w:ascii="Verdana" w:hAnsi="Verdana"/>
          <w:lang w:val="en-US"/>
        </w:rPr>
      </w:pPr>
    </w:p>
    <w:p w:rsidR="00BF196C" w:rsidRDefault="000272CD" w:rsidP="00117899">
      <w:pPr>
        <w:jc w:val="both"/>
        <w:rPr>
          <w:rFonts w:ascii="Verdana" w:hAnsi="Verdana"/>
          <w:lang w:val="en-US"/>
        </w:rPr>
      </w:pPr>
      <w:r>
        <w:rPr>
          <w:rFonts w:ascii="Verdana" w:hAnsi="Verdana"/>
          <w:lang w:val="en-US"/>
        </w:rPr>
        <w:t xml:space="preserve">The example on unit-liked is a simple one with premiums, investment returns and </w:t>
      </w:r>
      <w:r w:rsidR="0003278E">
        <w:rPr>
          <w:rFonts w:ascii="Verdana" w:hAnsi="Verdana"/>
          <w:lang w:val="en-US"/>
        </w:rPr>
        <w:t xml:space="preserve">investment </w:t>
      </w:r>
      <w:r>
        <w:rPr>
          <w:rFonts w:ascii="Verdana" w:hAnsi="Verdana"/>
          <w:lang w:val="en-US"/>
        </w:rPr>
        <w:t xml:space="preserve">expenses but not considering risk margin or a material difference between the market value of the assets and the technical provisions (BE+RM). However, it is </w:t>
      </w:r>
      <w:r w:rsidR="007E2057">
        <w:rPr>
          <w:rFonts w:ascii="Verdana" w:hAnsi="Verdana"/>
          <w:lang w:val="en-US"/>
        </w:rPr>
        <w:t xml:space="preserve">illustrating and clarifying </w:t>
      </w:r>
      <w:r>
        <w:rPr>
          <w:rFonts w:ascii="Verdana" w:hAnsi="Verdana"/>
          <w:lang w:val="en-US"/>
        </w:rPr>
        <w:t xml:space="preserve">the current understanding of the </w:t>
      </w:r>
      <w:r w:rsidR="002A3D11" w:rsidRPr="00BA2A0B">
        <w:rPr>
          <w:rFonts w:ascii="Verdana" w:hAnsi="Verdana"/>
          <w:lang w:val="en-US"/>
        </w:rPr>
        <w:t xml:space="preserve">index-linked </w:t>
      </w:r>
      <w:r w:rsidR="002A3D11">
        <w:rPr>
          <w:rFonts w:ascii="Verdana" w:hAnsi="Verdana"/>
          <w:lang w:val="en-US"/>
        </w:rPr>
        <w:t>and unit-linked</w:t>
      </w:r>
      <w:r>
        <w:rPr>
          <w:rFonts w:ascii="Verdana" w:hAnsi="Verdana"/>
          <w:lang w:val="en-US"/>
        </w:rPr>
        <w:t xml:space="preserve">. </w:t>
      </w:r>
    </w:p>
    <w:p w:rsidR="007E2057" w:rsidRDefault="007E2057" w:rsidP="00117899">
      <w:pPr>
        <w:jc w:val="both"/>
        <w:rPr>
          <w:rFonts w:ascii="Verdana" w:hAnsi="Verdana"/>
          <w:lang w:val="en-US"/>
        </w:rPr>
      </w:pPr>
      <w:r>
        <w:rPr>
          <w:rFonts w:ascii="Verdana" w:hAnsi="Verdana"/>
          <w:lang w:val="en-US"/>
        </w:rPr>
        <w:t>The example assumes investment returns over the year of 5 (3 from dividends and 2 from interest, an increase in the value of the investments of 15 and investment expenses of 3.</w:t>
      </w:r>
      <w:r w:rsidR="00CC3E13">
        <w:rPr>
          <w:rFonts w:ascii="Verdana" w:hAnsi="Verdana"/>
          <w:lang w:val="en-US"/>
        </w:rPr>
        <w:t xml:space="preserve"> Investment expenses are reflected in the Technical Provisions.</w:t>
      </w:r>
    </w:p>
    <w:p w:rsidR="00DF2294" w:rsidRDefault="00DF2294" w:rsidP="00117899">
      <w:pPr>
        <w:jc w:val="both"/>
        <w:rPr>
          <w:rFonts w:ascii="Verdana" w:hAnsi="Verdana"/>
          <w:lang w:val="en-US"/>
        </w:rPr>
      </w:pPr>
      <w:r>
        <w:rPr>
          <w:rFonts w:ascii="Verdana" w:hAnsi="Verdana"/>
          <w:lang w:val="en-US"/>
        </w:rPr>
        <w:t>Assumptions:</w:t>
      </w:r>
    </w:p>
    <w:tbl>
      <w:tblPr>
        <w:tblStyle w:val="TableGrid"/>
        <w:tblW w:w="0" w:type="auto"/>
        <w:jc w:val="center"/>
        <w:tblLook w:val="04A0" w:firstRow="1" w:lastRow="0" w:firstColumn="1" w:lastColumn="0" w:noHBand="0" w:noVBand="1"/>
      </w:tblPr>
      <w:tblGrid>
        <w:gridCol w:w="2645"/>
        <w:gridCol w:w="1463"/>
        <w:gridCol w:w="1464"/>
      </w:tblGrid>
      <w:tr w:rsidR="00CC3E13" w:rsidTr="00117899">
        <w:trPr>
          <w:trHeight w:val="267"/>
          <w:jc w:val="center"/>
        </w:trPr>
        <w:tc>
          <w:tcPr>
            <w:tcW w:w="2645" w:type="dxa"/>
          </w:tcPr>
          <w:p w:rsidR="00CC3E13" w:rsidRDefault="00CC3E13">
            <w:pPr>
              <w:jc w:val="both"/>
              <w:rPr>
                <w:rFonts w:ascii="Verdana" w:hAnsi="Verdana"/>
                <w:lang w:val="en-US"/>
              </w:rPr>
            </w:pPr>
          </w:p>
        </w:tc>
        <w:tc>
          <w:tcPr>
            <w:tcW w:w="1463" w:type="dxa"/>
          </w:tcPr>
          <w:p w:rsidR="00CC3E13" w:rsidRDefault="00CC3E13" w:rsidP="00117899">
            <w:pPr>
              <w:jc w:val="center"/>
              <w:rPr>
                <w:rFonts w:ascii="Verdana" w:hAnsi="Verdana"/>
                <w:lang w:val="en-US"/>
              </w:rPr>
            </w:pPr>
            <w:r>
              <w:rPr>
                <w:rFonts w:ascii="Verdana" w:hAnsi="Verdana"/>
                <w:lang w:val="en-US"/>
              </w:rPr>
              <w:t>Year N-1</w:t>
            </w:r>
          </w:p>
        </w:tc>
        <w:tc>
          <w:tcPr>
            <w:tcW w:w="1464" w:type="dxa"/>
          </w:tcPr>
          <w:p w:rsidR="00CC3E13" w:rsidRDefault="00CC3E13" w:rsidP="00117899">
            <w:pPr>
              <w:jc w:val="center"/>
              <w:rPr>
                <w:rFonts w:ascii="Verdana" w:hAnsi="Verdana"/>
                <w:lang w:val="en-US"/>
              </w:rPr>
            </w:pPr>
            <w:r>
              <w:rPr>
                <w:rFonts w:ascii="Verdana" w:hAnsi="Verdana"/>
                <w:lang w:val="en-US"/>
              </w:rPr>
              <w:t>Year N</w:t>
            </w:r>
          </w:p>
        </w:tc>
      </w:tr>
      <w:tr w:rsidR="00CC3E13" w:rsidTr="00117899">
        <w:trPr>
          <w:trHeight w:val="267"/>
          <w:jc w:val="center"/>
        </w:trPr>
        <w:tc>
          <w:tcPr>
            <w:tcW w:w="2645" w:type="dxa"/>
          </w:tcPr>
          <w:p w:rsidR="00CC3E13" w:rsidRDefault="00CC3E13">
            <w:pPr>
              <w:jc w:val="both"/>
              <w:rPr>
                <w:rFonts w:ascii="Verdana" w:hAnsi="Verdana"/>
                <w:lang w:val="en-US"/>
              </w:rPr>
            </w:pPr>
            <w:r>
              <w:rPr>
                <w:rFonts w:ascii="Verdana" w:hAnsi="Verdana"/>
                <w:lang w:val="en-US"/>
              </w:rPr>
              <w:t>Premium</w:t>
            </w:r>
          </w:p>
        </w:tc>
        <w:tc>
          <w:tcPr>
            <w:tcW w:w="1463" w:type="dxa"/>
          </w:tcPr>
          <w:p w:rsidR="00CC3E13" w:rsidRDefault="00CC3E13">
            <w:pPr>
              <w:jc w:val="both"/>
              <w:rPr>
                <w:rFonts w:ascii="Verdana" w:hAnsi="Verdana"/>
                <w:lang w:val="en-US"/>
              </w:rPr>
            </w:pPr>
            <w:r>
              <w:rPr>
                <w:rFonts w:ascii="Verdana" w:hAnsi="Verdana"/>
                <w:lang w:val="en-US"/>
              </w:rPr>
              <w:t>1000</w:t>
            </w:r>
          </w:p>
        </w:tc>
        <w:tc>
          <w:tcPr>
            <w:tcW w:w="1464" w:type="dxa"/>
          </w:tcPr>
          <w:p w:rsidR="00CC3E13" w:rsidRDefault="00CC3E13">
            <w:pPr>
              <w:jc w:val="both"/>
              <w:rPr>
                <w:rFonts w:ascii="Verdana" w:hAnsi="Verdana"/>
                <w:lang w:val="en-US"/>
              </w:rPr>
            </w:pPr>
            <w:r>
              <w:rPr>
                <w:rFonts w:ascii="Verdana" w:hAnsi="Verdana"/>
                <w:lang w:val="en-US"/>
              </w:rPr>
              <w:t>100</w:t>
            </w:r>
          </w:p>
        </w:tc>
      </w:tr>
      <w:tr w:rsidR="00CC3E13" w:rsidTr="00117899">
        <w:trPr>
          <w:trHeight w:val="268"/>
          <w:jc w:val="center"/>
        </w:trPr>
        <w:tc>
          <w:tcPr>
            <w:tcW w:w="2645" w:type="dxa"/>
          </w:tcPr>
          <w:p w:rsidR="00CC3E13" w:rsidRDefault="00CC3E13">
            <w:pPr>
              <w:jc w:val="both"/>
              <w:rPr>
                <w:rFonts w:ascii="Verdana" w:hAnsi="Verdana"/>
                <w:lang w:val="en-US"/>
              </w:rPr>
            </w:pPr>
            <w:r>
              <w:rPr>
                <w:rFonts w:ascii="Verdana" w:hAnsi="Verdana"/>
                <w:lang w:val="en-US"/>
              </w:rPr>
              <w:t>UL Assets</w:t>
            </w:r>
          </w:p>
        </w:tc>
        <w:tc>
          <w:tcPr>
            <w:tcW w:w="1463" w:type="dxa"/>
          </w:tcPr>
          <w:p w:rsidR="00CC3E13" w:rsidRDefault="00CC3E13">
            <w:pPr>
              <w:jc w:val="both"/>
              <w:rPr>
                <w:rFonts w:ascii="Verdana" w:hAnsi="Verdana"/>
                <w:lang w:val="en-US"/>
              </w:rPr>
            </w:pPr>
            <w:r>
              <w:rPr>
                <w:rFonts w:ascii="Verdana" w:hAnsi="Verdana"/>
                <w:lang w:val="en-US"/>
              </w:rPr>
              <w:t>1000</w:t>
            </w:r>
          </w:p>
        </w:tc>
        <w:tc>
          <w:tcPr>
            <w:tcW w:w="1464" w:type="dxa"/>
          </w:tcPr>
          <w:p w:rsidR="00CC3E13" w:rsidRDefault="00CC3E13">
            <w:pPr>
              <w:jc w:val="both"/>
              <w:rPr>
                <w:rFonts w:ascii="Verdana" w:hAnsi="Verdana"/>
                <w:lang w:val="en-US"/>
              </w:rPr>
            </w:pPr>
            <w:r>
              <w:rPr>
                <w:rFonts w:ascii="Verdana" w:hAnsi="Verdana"/>
                <w:lang w:val="en-US"/>
              </w:rPr>
              <w:t>1120</w:t>
            </w:r>
          </w:p>
        </w:tc>
      </w:tr>
      <w:tr w:rsidR="00CC3E13" w:rsidTr="00117899">
        <w:trPr>
          <w:trHeight w:val="267"/>
          <w:jc w:val="center"/>
        </w:trPr>
        <w:tc>
          <w:tcPr>
            <w:tcW w:w="2645" w:type="dxa"/>
          </w:tcPr>
          <w:p w:rsidR="00CC3E13" w:rsidRDefault="00CC3E13">
            <w:pPr>
              <w:jc w:val="both"/>
              <w:rPr>
                <w:rFonts w:ascii="Verdana" w:hAnsi="Verdana"/>
                <w:lang w:val="en-US"/>
              </w:rPr>
            </w:pPr>
            <w:r>
              <w:rPr>
                <w:rFonts w:ascii="Verdana" w:hAnsi="Verdana"/>
                <w:lang w:val="en-US"/>
              </w:rPr>
              <w:t>T</w:t>
            </w:r>
            <w:r w:rsidR="00312E28">
              <w:rPr>
                <w:rFonts w:ascii="Verdana" w:hAnsi="Verdana"/>
                <w:lang w:val="en-US"/>
              </w:rPr>
              <w:t xml:space="preserve">echnical </w:t>
            </w:r>
            <w:r>
              <w:rPr>
                <w:rFonts w:ascii="Verdana" w:hAnsi="Verdana"/>
                <w:lang w:val="en-US"/>
              </w:rPr>
              <w:t>P</w:t>
            </w:r>
            <w:r w:rsidR="00312E28">
              <w:rPr>
                <w:rFonts w:ascii="Verdana" w:hAnsi="Verdana"/>
                <w:lang w:val="en-US"/>
              </w:rPr>
              <w:t>rovisions</w:t>
            </w:r>
          </w:p>
        </w:tc>
        <w:tc>
          <w:tcPr>
            <w:tcW w:w="1463" w:type="dxa"/>
          </w:tcPr>
          <w:p w:rsidR="00CC3E13" w:rsidRDefault="00CC3E13">
            <w:pPr>
              <w:jc w:val="both"/>
              <w:rPr>
                <w:rFonts w:ascii="Verdana" w:hAnsi="Verdana"/>
                <w:lang w:val="en-US"/>
              </w:rPr>
            </w:pPr>
            <w:r>
              <w:rPr>
                <w:rFonts w:ascii="Verdana" w:hAnsi="Verdana"/>
                <w:lang w:val="en-US"/>
              </w:rPr>
              <w:t>995</w:t>
            </w:r>
          </w:p>
        </w:tc>
        <w:tc>
          <w:tcPr>
            <w:tcW w:w="1464" w:type="dxa"/>
          </w:tcPr>
          <w:p w:rsidR="00CC3E13" w:rsidRDefault="00CC3E13">
            <w:pPr>
              <w:jc w:val="both"/>
              <w:rPr>
                <w:rFonts w:ascii="Verdana" w:hAnsi="Verdana"/>
                <w:lang w:val="en-US"/>
              </w:rPr>
            </w:pPr>
            <w:r>
              <w:rPr>
                <w:rFonts w:ascii="Verdana" w:hAnsi="Verdana"/>
                <w:lang w:val="en-US"/>
              </w:rPr>
              <w:t>1112</w:t>
            </w:r>
          </w:p>
        </w:tc>
      </w:tr>
      <w:tr w:rsidR="00CC3E13" w:rsidTr="00117899">
        <w:trPr>
          <w:trHeight w:val="267"/>
          <w:jc w:val="center"/>
        </w:trPr>
        <w:tc>
          <w:tcPr>
            <w:tcW w:w="2645" w:type="dxa"/>
          </w:tcPr>
          <w:p w:rsidR="00CC3E13" w:rsidRDefault="00CC3E13">
            <w:pPr>
              <w:jc w:val="both"/>
              <w:rPr>
                <w:rFonts w:ascii="Verdana" w:hAnsi="Verdana"/>
                <w:lang w:val="en-US"/>
              </w:rPr>
            </w:pPr>
            <w:r>
              <w:rPr>
                <w:rFonts w:ascii="Verdana" w:hAnsi="Verdana"/>
                <w:lang w:val="en-US"/>
              </w:rPr>
              <w:t>Investment returns</w:t>
            </w:r>
          </w:p>
        </w:tc>
        <w:tc>
          <w:tcPr>
            <w:tcW w:w="1463" w:type="dxa"/>
          </w:tcPr>
          <w:p w:rsidR="00CC3E13" w:rsidRDefault="00CC3E13">
            <w:pPr>
              <w:jc w:val="both"/>
              <w:rPr>
                <w:rFonts w:ascii="Verdana" w:hAnsi="Verdana"/>
                <w:lang w:val="en-US"/>
              </w:rPr>
            </w:pPr>
          </w:p>
        </w:tc>
        <w:tc>
          <w:tcPr>
            <w:tcW w:w="1464" w:type="dxa"/>
          </w:tcPr>
          <w:p w:rsidR="00CC3E13" w:rsidRDefault="00CC3E13">
            <w:pPr>
              <w:jc w:val="both"/>
              <w:rPr>
                <w:rFonts w:ascii="Verdana" w:hAnsi="Verdana"/>
                <w:lang w:val="en-US"/>
              </w:rPr>
            </w:pPr>
            <w:r>
              <w:rPr>
                <w:rFonts w:ascii="Verdana" w:hAnsi="Verdana"/>
                <w:lang w:val="en-US"/>
              </w:rPr>
              <w:t>20</w:t>
            </w:r>
          </w:p>
        </w:tc>
      </w:tr>
      <w:tr w:rsidR="00CC3E13" w:rsidTr="00117899">
        <w:trPr>
          <w:trHeight w:val="268"/>
          <w:jc w:val="center"/>
        </w:trPr>
        <w:tc>
          <w:tcPr>
            <w:tcW w:w="2645" w:type="dxa"/>
          </w:tcPr>
          <w:p w:rsidR="00CC3E13" w:rsidRDefault="00CC3E13">
            <w:pPr>
              <w:jc w:val="both"/>
              <w:rPr>
                <w:rFonts w:ascii="Verdana" w:hAnsi="Verdana"/>
                <w:lang w:val="en-US"/>
              </w:rPr>
            </w:pPr>
            <w:r>
              <w:rPr>
                <w:rFonts w:ascii="Verdana" w:hAnsi="Verdana"/>
                <w:lang w:val="en-US"/>
              </w:rPr>
              <w:t>Expenses</w:t>
            </w:r>
          </w:p>
        </w:tc>
        <w:tc>
          <w:tcPr>
            <w:tcW w:w="1463" w:type="dxa"/>
          </w:tcPr>
          <w:p w:rsidR="00CC3E13" w:rsidRDefault="00CC3E13">
            <w:pPr>
              <w:jc w:val="both"/>
              <w:rPr>
                <w:rFonts w:ascii="Verdana" w:hAnsi="Verdana"/>
                <w:lang w:val="en-US"/>
              </w:rPr>
            </w:pPr>
            <w:r>
              <w:rPr>
                <w:rFonts w:ascii="Verdana" w:hAnsi="Verdana"/>
                <w:lang w:val="en-US"/>
              </w:rPr>
              <w:t>5</w:t>
            </w:r>
          </w:p>
        </w:tc>
        <w:tc>
          <w:tcPr>
            <w:tcW w:w="1464" w:type="dxa"/>
          </w:tcPr>
          <w:p w:rsidR="00CC3E13" w:rsidRDefault="00CC3E13">
            <w:pPr>
              <w:jc w:val="both"/>
              <w:rPr>
                <w:rFonts w:ascii="Verdana" w:hAnsi="Verdana"/>
                <w:lang w:val="en-US"/>
              </w:rPr>
            </w:pPr>
            <w:r>
              <w:rPr>
                <w:rFonts w:ascii="Verdana" w:hAnsi="Verdana"/>
                <w:lang w:val="en-US"/>
              </w:rPr>
              <w:t>3</w:t>
            </w:r>
          </w:p>
        </w:tc>
      </w:tr>
      <w:tr w:rsidR="00CC3E13" w:rsidTr="00117899">
        <w:trPr>
          <w:trHeight w:val="267"/>
          <w:jc w:val="center"/>
        </w:trPr>
        <w:tc>
          <w:tcPr>
            <w:tcW w:w="2645" w:type="dxa"/>
          </w:tcPr>
          <w:p w:rsidR="00CC3E13" w:rsidRDefault="00CC3E13">
            <w:pPr>
              <w:jc w:val="both"/>
              <w:rPr>
                <w:rFonts w:ascii="Verdana" w:hAnsi="Verdana"/>
                <w:lang w:val="en-US"/>
              </w:rPr>
            </w:pPr>
            <w:r>
              <w:rPr>
                <w:rFonts w:ascii="Verdana" w:hAnsi="Verdana"/>
                <w:lang w:val="en-US"/>
              </w:rPr>
              <w:t>EoAoL</w:t>
            </w:r>
          </w:p>
        </w:tc>
        <w:tc>
          <w:tcPr>
            <w:tcW w:w="1463" w:type="dxa"/>
          </w:tcPr>
          <w:p w:rsidR="00CC3E13" w:rsidRDefault="00CC3E13">
            <w:pPr>
              <w:jc w:val="both"/>
              <w:rPr>
                <w:rFonts w:ascii="Verdana" w:hAnsi="Verdana"/>
                <w:lang w:val="en-US"/>
              </w:rPr>
            </w:pPr>
            <w:r>
              <w:rPr>
                <w:rFonts w:ascii="Verdana" w:hAnsi="Verdana"/>
                <w:lang w:val="en-US"/>
              </w:rPr>
              <w:t>5</w:t>
            </w:r>
          </w:p>
        </w:tc>
        <w:tc>
          <w:tcPr>
            <w:tcW w:w="1464" w:type="dxa"/>
          </w:tcPr>
          <w:p w:rsidR="00CC3E13" w:rsidRDefault="00CC3E13">
            <w:pPr>
              <w:jc w:val="both"/>
              <w:rPr>
                <w:rFonts w:ascii="Verdana" w:hAnsi="Verdana"/>
                <w:lang w:val="en-US"/>
              </w:rPr>
            </w:pPr>
            <w:r>
              <w:rPr>
                <w:rFonts w:ascii="Verdana" w:hAnsi="Verdana"/>
                <w:lang w:val="en-US"/>
              </w:rPr>
              <w:t>8</w:t>
            </w:r>
          </w:p>
        </w:tc>
      </w:tr>
      <w:tr w:rsidR="00CC3E13" w:rsidTr="00117899">
        <w:trPr>
          <w:trHeight w:val="268"/>
          <w:jc w:val="center"/>
        </w:trPr>
        <w:tc>
          <w:tcPr>
            <w:tcW w:w="2645" w:type="dxa"/>
          </w:tcPr>
          <w:p w:rsidR="00CC3E13" w:rsidRDefault="00CC3E13">
            <w:pPr>
              <w:jc w:val="both"/>
              <w:rPr>
                <w:rFonts w:ascii="Verdana" w:hAnsi="Verdana"/>
                <w:lang w:val="en-US"/>
              </w:rPr>
            </w:pPr>
            <w:r>
              <w:rPr>
                <w:rFonts w:ascii="Verdana" w:hAnsi="Verdana"/>
                <w:lang w:val="en-US"/>
              </w:rPr>
              <w:t>Variation EoAoL</w:t>
            </w:r>
          </w:p>
        </w:tc>
        <w:tc>
          <w:tcPr>
            <w:tcW w:w="1463" w:type="dxa"/>
          </w:tcPr>
          <w:p w:rsidR="00CC3E13" w:rsidRDefault="00CC3E13">
            <w:pPr>
              <w:jc w:val="both"/>
              <w:rPr>
                <w:rFonts w:ascii="Verdana" w:hAnsi="Verdana"/>
                <w:lang w:val="en-US"/>
              </w:rPr>
            </w:pPr>
          </w:p>
        </w:tc>
        <w:tc>
          <w:tcPr>
            <w:tcW w:w="1464" w:type="dxa"/>
          </w:tcPr>
          <w:p w:rsidR="00CC3E13" w:rsidRDefault="00CC3E13">
            <w:pPr>
              <w:jc w:val="both"/>
              <w:rPr>
                <w:rFonts w:ascii="Verdana" w:hAnsi="Verdana"/>
                <w:lang w:val="en-US"/>
              </w:rPr>
            </w:pPr>
            <w:r>
              <w:rPr>
                <w:rFonts w:ascii="Verdana" w:hAnsi="Verdana"/>
                <w:lang w:val="en-US"/>
              </w:rPr>
              <w:t>3</w:t>
            </w:r>
          </w:p>
        </w:tc>
      </w:tr>
    </w:tbl>
    <w:p w:rsidR="00DF2294" w:rsidRDefault="00DF2294" w:rsidP="00117899">
      <w:pPr>
        <w:jc w:val="both"/>
        <w:rPr>
          <w:rFonts w:ascii="Verdana" w:hAnsi="Verdana"/>
          <w:lang w:val="en-US"/>
        </w:rPr>
      </w:pPr>
    </w:p>
    <w:p w:rsidR="000272CD" w:rsidRDefault="000272CD" w:rsidP="00117899">
      <w:pPr>
        <w:ind w:left="567"/>
        <w:jc w:val="both"/>
        <w:rPr>
          <w:rFonts w:ascii="Verdana" w:hAnsi="Verdana"/>
          <w:lang w:val="en-US"/>
        </w:rPr>
      </w:pPr>
    </w:p>
    <w:p w:rsidR="000272CD" w:rsidRDefault="00747928" w:rsidP="00117899">
      <w:pPr>
        <w:ind w:left="567"/>
        <w:jc w:val="both"/>
        <w:rPr>
          <w:rFonts w:ascii="Verdana" w:hAnsi="Verdana"/>
          <w:lang w:val="en-US"/>
        </w:rPr>
      </w:pPr>
      <w:r w:rsidRPr="00747928">
        <w:rPr>
          <w:rFonts w:ascii="Verdana" w:hAnsi="Verdana"/>
          <w:lang w:val="en-US"/>
        </w:rPr>
        <w:t xml:space="preserve"> </w:t>
      </w:r>
      <w:r w:rsidRPr="00747928">
        <w:rPr>
          <w:noProof/>
          <w:lang w:val="en-GB" w:eastAsia="en-GB"/>
        </w:rPr>
        <w:drawing>
          <wp:inline distT="0" distB="0" distL="0" distR="0" wp14:anchorId="1D35D0ED" wp14:editId="472AD987">
            <wp:extent cx="5160818" cy="1695042"/>
            <wp:effectExtent l="0" t="0" r="1905" b="63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5160818" cy="1695042"/>
                    </a:xfrm>
                    <a:prstGeom prst="rect">
                      <a:avLst/>
                    </a:prstGeom>
                    <a:noFill/>
                    <a:ln>
                      <a:noFill/>
                    </a:ln>
                  </pic:spPr>
                </pic:pic>
              </a:graphicData>
            </a:graphic>
          </wp:inline>
        </w:drawing>
      </w:r>
    </w:p>
    <w:p w:rsidR="00E2764A" w:rsidRPr="007853BA" w:rsidRDefault="00E2764A" w:rsidP="00E2764A">
      <w:pPr>
        <w:rPr>
          <w:rFonts w:ascii="Verdana" w:hAnsi="Verdana"/>
          <w:lang w:val="en-US"/>
        </w:rPr>
      </w:pPr>
      <w:r w:rsidRPr="007853BA">
        <w:rPr>
          <w:rFonts w:ascii="Verdana" w:hAnsi="Verdana"/>
          <w:lang w:val="en-US"/>
        </w:rPr>
        <w:t>Notes/explanations:</w:t>
      </w:r>
    </w:p>
    <w:p w:rsidR="00E2764A" w:rsidRDefault="00E2764A" w:rsidP="00E2764A">
      <w:pPr>
        <w:rPr>
          <w:rFonts w:ascii="Verdana" w:hAnsi="Verdana"/>
          <w:b/>
          <w:lang w:val="en-US"/>
        </w:rPr>
      </w:pPr>
      <w:r>
        <w:rPr>
          <w:rFonts w:ascii="Verdana" w:hAnsi="Verdana"/>
          <w:b/>
          <w:lang w:val="en-US"/>
        </w:rPr>
        <w:t>S.29.01</w:t>
      </w:r>
    </w:p>
    <w:p w:rsidR="00E2764A" w:rsidRDefault="00E2764A" w:rsidP="00E2764A">
      <w:pPr>
        <w:rPr>
          <w:rFonts w:ascii="Verdana" w:hAnsi="Verdana"/>
          <w:lang w:val="en-US"/>
        </w:rPr>
      </w:pPr>
      <w:r w:rsidRPr="00117899">
        <w:rPr>
          <w:rFonts w:ascii="Verdana" w:hAnsi="Verdana"/>
          <w:lang w:val="en-US"/>
        </w:rPr>
        <w:t>R0190:</w:t>
      </w:r>
      <w:r>
        <w:rPr>
          <w:rFonts w:ascii="Verdana" w:hAnsi="Verdana"/>
          <w:b/>
          <w:lang w:val="en-US"/>
        </w:rPr>
        <w:t xml:space="preserve"> </w:t>
      </w:r>
      <w:r>
        <w:rPr>
          <w:rFonts w:ascii="Verdana" w:hAnsi="Verdana"/>
          <w:lang w:val="en-US"/>
        </w:rPr>
        <w:t xml:space="preserve">reflects the variation due to investments variation (20 minus expenses due to investments), further detail in S.29.02. </w:t>
      </w:r>
    </w:p>
    <w:p w:rsidR="00E2764A" w:rsidRDefault="00E2764A" w:rsidP="00E2764A">
      <w:pPr>
        <w:rPr>
          <w:rFonts w:ascii="Verdana" w:hAnsi="Verdana"/>
          <w:lang w:val="en-US"/>
        </w:rPr>
      </w:pPr>
      <w:r>
        <w:rPr>
          <w:rFonts w:ascii="Verdana" w:hAnsi="Verdana"/>
          <w:lang w:val="en-US"/>
        </w:rPr>
        <w:t>R0200: reflects the variation due to technical provisions</w:t>
      </w:r>
      <w:r w:rsidR="00D16B58">
        <w:rPr>
          <w:rFonts w:ascii="Verdana" w:hAnsi="Verdana"/>
          <w:lang w:val="en-US"/>
        </w:rPr>
        <w:t xml:space="preserve"> (including technical flows)</w:t>
      </w:r>
      <w:r>
        <w:rPr>
          <w:rFonts w:ascii="Verdana" w:hAnsi="Verdana"/>
          <w:lang w:val="en-US"/>
        </w:rPr>
        <w:t>, further detail in S.29.03</w:t>
      </w:r>
      <w:r w:rsidR="00DA0176">
        <w:rPr>
          <w:rFonts w:ascii="Verdana" w:hAnsi="Verdana"/>
          <w:lang w:val="en-US"/>
        </w:rPr>
        <w:t xml:space="preserve"> (see also BV508)</w:t>
      </w:r>
      <w:r>
        <w:rPr>
          <w:rFonts w:ascii="Verdana" w:hAnsi="Verdana"/>
          <w:lang w:val="en-US"/>
        </w:rPr>
        <w:t xml:space="preserve">.  </w:t>
      </w:r>
    </w:p>
    <w:p w:rsidR="003C71ED" w:rsidRPr="00117899" w:rsidRDefault="00747928" w:rsidP="00E2764A">
      <w:pPr>
        <w:rPr>
          <w:rFonts w:ascii="Verdana" w:hAnsi="Verdana"/>
          <w:lang w:val="en-US"/>
        </w:rPr>
      </w:pPr>
      <w:r w:rsidRPr="00747928">
        <w:rPr>
          <w:rFonts w:ascii="Verdana" w:hAnsi="Verdana"/>
          <w:lang w:val="en-US"/>
        </w:rPr>
        <w:t xml:space="preserve"> </w:t>
      </w:r>
      <w:r w:rsidRPr="00747928">
        <w:rPr>
          <w:noProof/>
          <w:lang w:val="en-GB" w:eastAsia="en-GB"/>
        </w:rPr>
        <w:drawing>
          <wp:inline distT="0" distB="0" distL="0" distR="0" wp14:anchorId="46CC516A" wp14:editId="58F4EAB3">
            <wp:extent cx="4849091" cy="2463904"/>
            <wp:effectExtent l="0" t="0" r="889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4846760" cy="2462719"/>
                    </a:xfrm>
                    <a:prstGeom prst="rect">
                      <a:avLst/>
                    </a:prstGeom>
                    <a:noFill/>
                    <a:ln>
                      <a:noFill/>
                    </a:ln>
                  </pic:spPr>
                </pic:pic>
              </a:graphicData>
            </a:graphic>
          </wp:inline>
        </w:drawing>
      </w:r>
    </w:p>
    <w:p w:rsidR="003C71ED" w:rsidRPr="007853BA" w:rsidRDefault="003C71ED" w:rsidP="003C71ED">
      <w:pPr>
        <w:rPr>
          <w:rFonts w:ascii="Verdana" w:hAnsi="Verdana"/>
          <w:lang w:val="en-US"/>
        </w:rPr>
      </w:pPr>
      <w:r w:rsidRPr="007853BA">
        <w:rPr>
          <w:rFonts w:ascii="Verdana" w:hAnsi="Verdana"/>
          <w:lang w:val="en-US"/>
        </w:rPr>
        <w:t>Notes/explanations:</w:t>
      </w:r>
    </w:p>
    <w:p w:rsidR="003C71ED" w:rsidRDefault="003C71ED" w:rsidP="003C71ED">
      <w:pPr>
        <w:rPr>
          <w:rFonts w:ascii="Verdana" w:hAnsi="Verdana"/>
          <w:b/>
          <w:lang w:val="en-US"/>
        </w:rPr>
      </w:pPr>
      <w:r>
        <w:rPr>
          <w:rFonts w:ascii="Verdana" w:hAnsi="Verdana"/>
          <w:b/>
          <w:lang w:val="en-US"/>
        </w:rPr>
        <w:t>S.29.02</w:t>
      </w:r>
    </w:p>
    <w:p w:rsidR="003C71ED" w:rsidRDefault="003C71ED" w:rsidP="003C71ED">
      <w:pPr>
        <w:rPr>
          <w:rFonts w:ascii="Verdana" w:hAnsi="Verdana"/>
          <w:lang w:val="en-US"/>
        </w:rPr>
      </w:pPr>
      <w:r w:rsidRPr="00C819D9">
        <w:rPr>
          <w:rFonts w:ascii="Verdana" w:hAnsi="Verdana"/>
          <w:lang w:val="en-US"/>
        </w:rPr>
        <w:t>R0</w:t>
      </w:r>
      <w:r>
        <w:rPr>
          <w:rFonts w:ascii="Verdana" w:hAnsi="Verdana"/>
          <w:lang w:val="en-US"/>
        </w:rPr>
        <w:t>01</w:t>
      </w:r>
      <w:r w:rsidRPr="00C819D9">
        <w:rPr>
          <w:rFonts w:ascii="Verdana" w:hAnsi="Verdana"/>
          <w:lang w:val="en-US"/>
        </w:rPr>
        <w:t xml:space="preserve">0: </w:t>
      </w:r>
      <w:r w:rsidRPr="00E2764A">
        <w:rPr>
          <w:rFonts w:ascii="Verdana" w:hAnsi="Verdana"/>
          <w:lang w:val="en-US"/>
        </w:rPr>
        <w:t xml:space="preserve">reflects </w:t>
      </w:r>
      <w:r w:rsidRPr="00D46DF3">
        <w:rPr>
          <w:rFonts w:ascii="Verdana" w:hAnsi="Verdana"/>
          <w:lang w:val="en-US"/>
        </w:rPr>
        <w:t xml:space="preserve">the variation due to investments </w:t>
      </w:r>
      <w:r>
        <w:rPr>
          <w:rFonts w:ascii="Verdana" w:hAnsi="Verdana"/>
          <w:lang w:val="en-US"/>
        </w:rPr>
        <w:t>valuation, in this case a gain of 15.</w:t>
      </w:r>
    </w:p>
    <w:p w:rsidR="003C71ED" w:rsidRDefault="003C71ED" w:rsidP="003C71ED">
      <w:pPr>
        <w:rPr>
          <w:rFonts w:ascii="Verdana" w:hAnsi="Verdana"/>
          <w:lang w:val="en-US"/>
        </w:rPr>
      </w:pPr>
      <w:r>
        <w:rPr>
          <w:rFonts w:ascii="Verdana" w:hAnsi="Verdana"/>
          <w:lang w:val="en-US"/>
        </w:rPr>
        <w:t>R0040: reflects investment revenues (3 coming from dividends and 2 from interests).</w:t>
      </w:r>
    </w:p>
    <w:p w:rsidR="003C71ED" w:rsidRDefault="003C71ED" w:rsidP="003C71ED">
      <w:pPr>
        <w:rPr>
          <w:rFonts w:ascii="Verdana" w:hAnsi="Verdana"/>
          <w:lang w:val="en-US"/>
        </w:rPr>
      </w:pPr>
      <w:r>
        <w:rPr>
          <w:rFonts w:ascii="Verdana" w:hAnsi="Verdana"/>
          <w:lang w:val="en-US"/>
        </w:rPr>
        <w:t>R0050: investment expenses</w:t>
      </w:r>
      <w:r w:rsidR="00CC3E13">
        <w:rPr>
          <w:rFonts w:ascii="Verdana" w:hAnsi="Verdana"/>
          <w:lang w:val="en-US"/>
        </w:rPr>
        <w:t xml:space="preserve"> should be zero as they are reflected in the TP</w:t>
      </w:r>
      <w:r>
        <w:rPr>
          <w:rFonts w:ascii="Verdana" w:hAnsi="Verdana"/>
          <w:lang w:val="en-US"/>
        </w:rPr>
        <w:t xml:space="preserve">.  </w:t>
      </w:r>
    </w:p>
    <w:p w:rsidR="000272CD" w:rsidRDefault="00157037" w:rsidP="00117899">
      <w:pPr>
        <w:ind w:left="567"/>
        <w:jc w:val="both"/>
        <w:rPr>
          <w:rFonts w:ascii="Verdana" w:hAnsi="Verdana"/>
          <w:lang w:val="en-US"/>
        </w:rPr>
      </w:pPr>
      <w:r w:rsidRPr="00157037">
        <w:rPr>
          <w:noProof/>
          <w:lang w:val="en-GB" w:eastAsia="en-GB"/>
        </w:rPr>
        <w:drawing>
          <wp:inline distT="0" distB="0" distL="0" distR="0" wp14:anchorId="18B46F32" wp14:editId="5331D6FF">
            <wp:extent cx="4599460" cy="6510528"/>
            <wp:effectExtent l="0" t="0" r="0" b="508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4604093" cy="6517086"/>
                    </a:xfrm>
                    <a:prstGeom prst="rect">
                      <a:avLst/>
                    </a:prstGeom>
                    <a:noFill/>
                    <a:ln>
                      <a:noFill/>
                    </a:ln>
                  </pic:spPr>
                </pic:pic>
              </a:graphicData>
            </a:graphic>
          </wp:inline>
        </w:drawing>
      </w:r>
    </w:p>
    <w:p w:rsidR="00E2764A" w:rsidRPr="007853BA" w:rsidRDefault="00E2764A" w:rsidP="00E2764A">
      <w:pPr>
        <w:rPr>
          <w:rFonts w:ascii="Verdana" w:hAnsi="Verdana"/>
          <w:lang w:val="en-US"/>
        </w:rPr>
      </w:pPr>
      <w:r w:rsidRPr="007853BA">
        <w:rPr>
          <w:rFonts w:ascii="Verdana" w:hAnsi="Verdana"/>
          <w:lang w:val="en-US"/>
        </w:rPr>
        <w:t>Notes/explanations:</w:t>
      </w:r>
    </w:p>
    <w:p w:rsidR="00E2764A" w:rsidRDefault="0003278E" w:rsidP="00E2764A">
      <w:pPr>
        <w:rPr>
          <w:rFonts w:ascii="Verdana" w:hAnsi="Verdana"/>
          <w:b/>
          <w:lang w:val="en-US"/>
        </w:rPr>
      </w:pPr>
      <w:r>
        <w:rPr>
          <w:rFonts w:ascii="Verdana" w:hAnsi="Verdana"/>
          <w:b/>
          <w:lang w:val="en-US"/>
        </w:rPr>
        <w:t>S.29.03</w:t>
      </w:r>
    </w:p>
    <w:p w:rsidR="00D46DF3" w:rsidRDefault="00E2764A" w:rsidP="00E2764A">
      <w:pPr>
        <w:rPr>
          <w:rFonts w:ascii="Verdana" w:hAnsi="Verdana"/>
          <w:lang w:val="en-US"/>
        </w:rPr>
      </w:pPr>
      <w:r w:rsidRPr="00AF7344">
        <w:rPr>
          <w:rFonts w:ascii="Verdana" w:hAnsi="Verdana"/>
          <w:lang w:val="en-US"/>
        </w:rPr>
        <w:t>R0</w:t>
      </w:r>
      <w:r w:rsidR="00D46DF3">
        <w:rPr>
          <w:rFonts w:ascii="Verdana" w:hAnsi="Verdana"/>
          <w:lang w:val="en-US"/>
        </w:rPr>
        <w:t>0</w:t>
      </w:r>
      <w:r w:rsidR="0003278E">
        <w:rPr>
          <w:rFonts w:ascii="Verdana" w:hAnsi="Verdana"/>
          <w:lang w:val="en-US"/>
        </w:rPr>
        <w:t>5</w:t>
      </w:r>
      <w:r w:rsidRPr="00AF7344">
        <w:rPr>
          <w:rFonts w:ascii="Verdana" w:hAnsi="Verdana"/>
          <w:lang w:val="en-US"/>
        </w:rPr>
        <w:t xml:space="preserve">0: </w:t>
      </w:r>
      <w:r w:rsidRPr="00E2764A">
        <w:rPr>
          <w:rFonts w:ascii="Verdana" w:hAnsi="Verdana"/>
          <w:lang w:val="en-US"/>
        </w:rPr>
        <w:t xml:space="preserve">reflects </w:t>
      </w:r>
      <w:r w:rsidRPr="00D46DF3">
        <w:rPr>
          <w:rFonts w:ascii="Verdana" w:hAnsi="Verdana"/>
          <w:lang w:val="en-US"/>
        </w:rPr>
        <w:t xml:space="preserve">the </w:t>
      </w:r>
      <w:r w:rsidR="0003278E">
        <w:rPr>
          <w:rFonts w:ascii="Verdana" w:hAnsi="Verdana"/>
          <w:lang w:val="en-US"/>
        </w:rPr>
        <w:t>new premium received during the year</w:t>
      </w:r>
      <w:r>
        <w:rPr>
          <w:rFonts w:ascii="Verdana" w:hAnsi="Verdana"/>
          <w:lang w:val="en-US"/>
        </w:rPr>
        <w:t>.</w:t>
      </w:r>
    </w:p>
    <w:p w:rsidR="00D46DF3" w:rsidRDefault="00D46DF3" w:rsidP="00E2764A">
      <w:pPr>
        <w:rPr>
          <w:rFonts w:ascii="Verdana" w:hAnsi="Verdana"/>
          <w:lang w:val="en-US"/>
        </w:rPr>
      </w:pPr>
      <w:r>
        <w:rPr>
          <w:rFonts w:ascii="Verdana" w:hAnsi="Verdana"/>
          <w:lang w:val="en-US"/>
        </w:rPr>
        <w:t>R00</w:t>
      </w:r>
      <w:r w:rsidR="0003278E">
        <w:rPr>
          <w:rFonts w:ascii="Verdana" w:hAnsi="Verdana"/>
          <w:lang w:val="en-US"/>
        </w:rPr>
        <w:t>8</w:t>
      </w:r>
      <w:r>
        <w:rPr>
          <w:rFonts w:ascii="Verdana" w:hAnsi="Verdana"/>
          <w:lang w:val="en-US"/>
        </w:rPr>
        <w:t xml:space="preserve">0: reflects investment revenues </w:t>
      </w:r>
      <w:r w:rsidR="0003278E">
        <w:rPr>
          <w:rFonts w:ascii="Verdana" w:hAnsi="Verdana"/>
          <w:lang w:val="en-US"/>
        </w:rPr>
        <w:t>affecting the technical provision</w:t>
      </w:r>
      <w:r>
        <w:rPr>
          <w:rFonts w:ascii="Verdana" w:hAnsi="Verdana"/>
          <w:lang w:val="en-US"/>
        </w:rPr>
        <w:t>.</w:t>
      </w:r>
    </w:p>
    <w:p w:rsidR="00CF1616" w:rsidRDefault="00D46DF3" w:rsidP="00E2764A">
      <w:pPr>
        <w:rPr>
          <w:rFonts w:ascii="Verdana" w:hAnsi="Verdana"/>
          <w:lang w:val="en-US"/>
        </w:rPr>
      </w:pPr>
      <w:r>
        <w:rPr>
          <w:rFonts w:ascii="Verdana" w:hAnsi="Verdana"/>
          <w:lang w:val="en-US"/>
        </w:rPr>
        <w:t>R0</w:t>
      </w:r>
      <w:r w:rsidR="00CF1616">
        <w:rPr>
          <w:rFonts w:ascii="Verdana" w:hAnsi="Verdana"/>
          <w:lang w:val="en-US"/>
        </w:rPr>
        <w:t>30</w:t>
      </w:r>
      <w:r>
        <w:rPr>
          <w:rFonts w:ascii="Verdana" w:hAnsi="Verdana"/>
          <w:lang w:val="en-US"/>
        </w:rPr>
        <w:t xml:space="preserve">0: corresponds to </w:t>
      </w:r>
      <w:r w:rsidR="00CF1616">
        <w:rPr>
          <w:rFonts w:ascii="Verdana" w:hAnsi="Verdana"/>
          <w:lang w:val="en-US"/>
        </w:rPr>
        <w:t xml:space="preserve">the net impact of </w:t>
      </w:r>
      <w:r w:rsidR="002A3D11" w:rsidRPr="00BA2A0B">
        <w:rPr>
          <w:rFonts w:ascii="Verdana" w:hAnsi="Verdana"/>
          <w:lang w:val="en-US"/>
        </w:rPr>
        <w:t xml:space="preserve">index-linked </w:t>
      </w:r>
      <w:r w:rsidR="002A3D11">
        <w:rPr>
          <w:rFonts w:ascii="Verdana" w:hAnsi="Verdana"/>
          <w:lang w:val="en-US"/>
        </w:rPr>
        <w:t>and unit-linked business</w:t>
      </w:r>
      <w:r w:rsidR="00CF1616">
        <w:rPr>
          <w:rFonts w:ascii="Verdana" w:hAnsi="Verdana"/>
          <w:lang w:val="en-US"/>
        </w:rPr>
        <w:t>, including technical flows (in this case the full amount as we are assuming only UL business). This cell</w:t>
      </w:r>
      <w:r w:rsidR="00F6730F">
        <w:rPr>
          <w:rFonts w:ascii="Verdana" w:hAnsi="Verdana"/>
          <w:lang w:val="en-US"/>
        </w:rPr>
        <w:t xml:space="preserve"> is</w:t>
      </w:r>
      <w:r w:rsidR="00CF1616">
        <w:rPr>
          <w:rFonts w:ascii="Verdana" w:hAnsi="Verdana"/>
          <w:lang w:val="en-US"/>
        </w:rPr>
        <w:t xml:space="preserve"> for information only. </w:t>
      </w:r>
    </w:p>
    <w:p w:rsidR="00CF1616" w:rsidRDefault="00D03A50" w:rsidP="00E2764A">
      <w:pPr>
        <w:rPr>
          <w:rFonts w:ascii="Verdana" w:hAnsi="Verdana"/>
          <w:lang w:val="en-US"/>
        </w:rPr>
      </w:pPr>
      <w:r>
        <w:rPr>
          <w:rFonts w:ascii="Verdana" w:hAnsi="Verdana"/>
          <w:lang w:val="en-US"/>
        </w:rPr>
        <w:t>R0310: reflects the new premium received during the year</w:t>
      </w:r>
    </w:p>
    <w:p w:rsidR="00D03A50" w:rsidRDefault="00DA0176" w:rsidP="00E2764A">
      <w:pPr>
        <w:rPr>
          <w:rFonts w:ascii="Verdana" w:hAnsi="Verdana"/>
          <w:lang w:val="en-US"/>
        </w:rPr>
      </w:pPr>
      <w:r>
        <w:rPr>
          <w:rFonts w:ascii="Verdana" w:hAnsi="Verdana"/>
          <w:lang w:val="en-US"/>
        </w:rPr>
        <w:t xml:space="preserve">R0360: </w:t>
      </w:r>
      <w:r w:rsidR="00933520">
        <w:rPr>
          <w:rFonts w:ascii="Verdana" w:hAnsi="Verdana"/>
          <w:lang w:val="en-US"/>
        </w:rPr>
        <w:t>r</w:t>
      </w:r>
      <w:r w:rsidRPr="00DA0176">
        <w:rPr>
          <w:rFonts w:ascii="Verdana" w:hAnsi="Verdana"/>
          <w:lang w:val="en-US"/>
        </w:rPr>
        <w:t>eflects the full impact in the EoAoL</w:t>
      </w:r>
      <w:r w:rsidR="00933520">
        <w:rPr>
          <w:rFonts w:ascii="Verdana" w:hAnsi="Verdana"/>
          <w:lang w:val="en-US"/>
        </w:rPr>
        <w:t xml:space="preserve"> from technical provisions</w:t>
      </w:r>
      <w:r w:rsidRPr="00DA0176">
        <w:rPr>
          <w:rFonts w:ascii="Verdana" w:hAnsi="Verdana"/>
          <w:lang w:val="en-US"/>
        </w:rPr>
        <w:t xml:space="preserve">, i.e. the </w:t>
      </w:r>
      <w:r w:rsidR="00933520">
        <w:rPr>
          <w:rFonts w:ascii="Verdana" w:hAnsi="Verdana"/>
          <w:lang w:val="en-US"/>
        </w:rPr>
        <w:t xml:space="preserve">impact of the </w:t>
      </w:r>
      <w:r w:rsidRPr="00DA0176">
        <w:rPr>
          <w:rFonts w:ascii="Verdana" w:hAnsi="Verdana"/>
          <w:lang w:val="en-US"/>
        </w:rPr>
        <w:t>variation in the best estimate (</w:t>
      </w:r>
      <w:r w:rsidR="00B947DA">
        <w:rPr>
          <w:rFonts w:ascii="Verdana" w:hAnsi="Verdana"/>
          <w:lang w:val="en-US"/>
        </w:rPr>
        <w:t>-</w:t>
      </w:r>
      <w:r>
        <w:rPr>
          <w:rFonts w:ascii="Verdana" w:hAnsi="Verdana"/>
          <w:lang w:val="en-US"/>
        </w:rPr>
        <w:t>1</w:t>
      </w:r>
      <w:r w:rsidR="00933520">
        <w:rPr>
          <w:rFonts w:ascii="Verdana" w:hAnsi="Verdana"/>
          <w:lang w:val="en-US"/>
        </w:rPr>
        <w:t>1</w:t>
      </w:r>
      <w:r>
        <w:rPr>
          <w:rFonts w:ascii="Verdana" w:hAnsi="Verdana"/>
          <w:lang w:val="en-US"/>
        </w:rPr>
        <w:t>7</w:t>
      </w:r>
      <w:r w:rsidRPr="00DA0176">
        <w:rPr>
          <w:rFonts w:ascii="Verdana" w:hAnsi="Verdana"/>
          <w:lang w:val="en-US"/>
        </w:rPr>
        <w:t>) and the impact of the technical flows (</w:t>
      </w:r>
      <w:r>
        <w:rPr>
          <w:rFonts w:ascii="Verdana" w:hAnsi="Verdana"/>
          <w:lang w:val="en-US"/>
        </w:rPr>
        <w:t>10</w:t>
      </w:r>
      <w:r w:rsidR="00933520">
        <w:rPr>
          <w:rFonts w:ascii="Verdana" w:hAnsi="Verdana"/>
          <w:lang w:val="en-US"/>
        </w:rPr>
        <w:t>0</w:t>
      </w:r>
      <w:r w:rsidRPr="00DA0176">
        <w:rPr>
          <w:rFonts w:ascii="Verdana" w:hAnsi="Verdana"/>
          <w:lang w:val="en-US"/>
        </w:rPr>
        <w:t>)</w:t>
      </w:r>
      <w:r w:rsidR="00B947DA">
        <w:rPr>
          <w:rFonts w:ascii="Verdana" w:hAnsi="Verdana"/>
          <w:lang w:val="en-US"/>
        </w:rPr>
        <w:t>,</w:t>
      </w:r>
      <w:r w:rsidRPr="00DA0176">
        <w:rPr>
          <w:rFonts w:ascii="Verdana" w:hAnsi="Verdana"/>
          <w:lang w:val="en-US"/>
        </w:rPr>
        <w:t xml:space="preserve"> summing </w:t>
      </w:r>
      <w:r w:rsidR="00B947DA">
        <w:rPr>
          <w:rFonts w:ascii="Verdana" w:hAnsi="Verdana"/>
          <w:lang w:val="en-US"/>
        </w:rPr>
        <w:t>-</w:t>
      </w:r>
      <w:r>
        <w:rPr>
          <w:rFonts w:ascii="Verdana" w:hAnsi="Verdana"/>
          <w:lang w:val="en-US"/>
        </w:rPr>
        <w:t>1</w:t>
      </w:r>
      <w:r w:rsidR="00933520">
        <w:rPr>
          <w:rFonts w:ascii="Verdana" w:hAnsi="Verdana"/>
          <w:lang w:val="en-US"/>
        </w:rPr>
        <w:t>7</w:t>
      </w:r>
      <w:r w:rsidR="003C71ED">
        <w:rPr>
          <w:rFonts w:ascii="Verdana" w:hAnsi="Verdana"/>
          <w:lang w:val="en-US"/>
        </w:rPr>
        <w:t xml:space="preserve">. </w:t>
      </w:r>
    </w:p>
    <w:p w:rsidR="000272CD" w:rsidRDefault="00CF1616" w:rsidP="00117899">
      <w:pPr>
        <w:ind w:left="567"/>
        <w:jc w:val="both"/>
        <w:rPr>
          <w:rFonts w:ascii="Verdana" w:hAnsi="Verdana"/>
          <w:lang w:val="en-US"/>
        </w:rPr>
      </w:pPr>
      <w:r>
        <w:rPr>
          <w:rFonts w:ascii="Verdana" w:hAnsi="Verdana"/>
          <w:lang w:val="en-US"/>
        </w:rPr>
        <w:t xml:space="preserve"> </w:t>
      </w:r>
      <w:r w:rsidR="00B947DA" w:rsidRPr="00B947DA">
        <w:rPr>
          <w:rFonts w:ascii="Verdana" w:hAnsi="Verdana"/>
          <w:lang w:val="en-US"/>
        </w:rPr>
        <w:t xml:space="preserve"> </w:t>
      </w:r>
      <w:r w:rsidR="00B947DA" w:rsidRPr="00B947DA">
        <w:rPr>
          <w:noProof/>
          <w:lang w:val="en-GB" w:eastAsia="en-GB"/>
        </w:rPr>
        <w:drawing>
          <wp:inline distT="0" distB="0" distL="0" distR="0" wp14:anchorId="116BCA7B" wp14:editId="62F5E620">
            <wp:extent cx="3782290" cy="2313310"/>
            <wp:effectExtent l="0" t="0" r="889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3782290" cy="2313310"/>
                    </a:xfrm>
                    <a:prstGeom prst="rect">
                      <a:avLst/>
                    </a:prstGeom>
                    <a:noFill/>
                    <a:ln>
                      <a:noFill/>
                    </a:ln>
                  </pic:spPr>
                </pic:pic>
              </a:graphicData>
            </a:graphic>
          </wp:inline>
        </w:drawing>
      </w:r>
    </w:p>
    <w:p w:rsidR="00F6730F" w:rsidRPr="007853BA" w:rsidRDefault="00F6730F" w:rsidP="00F6730F">
      <w:pPr>
        <w:rPr>
          <w:rFonts w:ascii="Verdana" w:hAnsi="Verdana"/>
          <w:lang w:val="en-US"/>
        </w:rPr>
      </w:pPr>
      <w:r w:rsidRPr="007853BA">
        <w:rPr>
          <w:rFonts w:ascii="Verdana" w:hAnsi="Verdana"/>
          <w:lang w:val="en-US"/>
        </w:rPr>
        <w:t>Notes/explanations:</w:t>
      </w:r>
    </w:p>
    <w:p w:rsidR="00F6730F" w:rsidRPr="007853BA" w:rsidRDefault="00F6730F" w:rsidP="00F6730F">
      <w:pPr>
        <w:rPr>
          <w:rFonts w:ascii="Verdana" w:hAnsi="Verdana"/>
          <w:b/>
          <w:lang w:val="en-US"/>
        </w:rPr>
      </w:pPr>
      <w:r w:rsidRPr="007853BA">
        <w:rPr>
          <w:rFonts w:ascii="Verdana" w:hAnsi="Verdana"/>
          <w:b/>
          <w:lang w:val="en-US"/>
        </w:rPr>
        <w:t>S.29.04</w:t>
      </w:r>
    </w:p>
    <w:p w:rsidR="00F6730F" w:rsidRPr="007853BA" w:rsidRDefault="00F6730F" w:rsidP="00F6730F">
      <w:pPr>
        <w:jc w:val="both"/>
        <w:rPr>
          <w:rFonts w:ascii="Verdana" w:hAnsi="Verdana"/>
          <w:lang w:val="en-US"/>
        </w:rPr>
      </w:pPr>
      <w:r>
        <w:rPr>
          <w:rFonts w:ascii="Verdana" w:hAnsi="Verdana"/>
          <w:lang w:val="en-US"/>
        </w:rPr>
        <w:t>R001</w:t>
      </w:r>
      <w:r w:rsidRPr="007853BA">
        <w:rPr>
          <w:rFonts w:ascii="Verdana" w:hAnsi="Verdana"/>
          <w:lang w:val="en-US"/>
        </w:rPr>
        <w:t xml:space="preserve">0: reflects the </w:t>
      </w:r>
      <w:r>
        <w:rPr>
          <w:rFonts w:ascii="Verdana" w:hAnsi="Verdana"/>
          <w:lang w:val="en-US"/>
        </w:rPr>
        <w:t>premium received</w:t>
      </w:r>
      <w:r w:rsidRPr="007853BA">
        <w:rPr>
          <w:rFonts w:ascii="Verdana" w:hAnsi="Verdana"/>
          <w:lang w:val="en-US"/>
        </w:rPr>
        <w:t xml:space="preserve"> during the reporting period</w:t>
      </w:r>
    </w:p>
    <w:p w:rsidR="00F6730F" w:rsidRDefault="00F6730F" w:rsidP="00F6730F">
      <w:pPr>
        <w:jc w:val="both"/>
        <w:rPr>
          <w:rFonts w:ascii="Verdana" w:hAnsi="Verdana"/>
          <w:lang w:val="en-US"/>
        </w:rPr>
      </w:pPr>
      <w:r>
        <w:rPr>
          <w:rFonts w:ascii="Verdana" w:hAnsi="Verdana"/>
          <w:lang w:val="en-US"/>
        </w:rPr>
        <w:t>R004</w:t>
      </w:r>
      <w:r w:rsidRPr="007853BA">
        <w:rPr>
          <w:rFonts w:ascii="Verdana" w:hAnsi="Verdana"/>
          <w:lang w:val="en-US"/>
        </w:rPr>
        <w:t xml:space="preserve">0: </w:t>
      </w:r>
      <w:r>
        <w:rPr>
          <w:rFonts w:ascii="Verdana" w:hAnsi="Verdana"/>
          <w:lang w:val="en-US"/>
        </w:rPr>
        <w:t xml:space="preserve">reflects the variation of the TP (assuming that the return on the assets relate only to the ones held at the beginning of the year). </w:t>
      </w:r>
    </w:p>
    <w:p w:rsidR="00F6730F" w:rsidRDefault="00F6730F" w:rsidP="00F6730F">
      <w:pPr>
        <w:jc w:val="both"/>
        <w:rPr>
          <w:rFonts w:ascii="Verdana" w:hAnsi="Verdana"/>
          <w:lang w:val="en-US"/>
        </w:rPr>
      </w:pPr>
      <w:r w:rsidRPr="007853BA">
        <w:rPr>
          <w:rFonts w:ascii="Verdana" w:hAnsi="Verdana"/>
          <w:lang w:val="en-US"/>
        </w:rPr>
        <w:t>R0</w:t>
      </w:r>
      <w:r>
        <w:rPr>
          <w:rFonts w:ascii="Verdana" w:hAnsi="Verdana"/>
          <w:lang w:val="en-US"/>
        </w:rPr>
        <w:t>06</w:t>
      </w:r>
      <w:r w:rsidRPr="007853BA">
        <w:rPr>
          <w:rFonts w:ascii="Verdana" w:hAnsi="Verdana"/>
          <w:lang w:val="en-US"/>
        </w:rPr>
        <w:t xml:space="preserve">0: </w:t>
      </w:r>
      <w:r>
        <w:rPr>
          <w:rFonts w:ascii="Verdana" w:hAnsi="Verdana"/>
          <w:lang w:val="en-US"/>
        </w:rPr>
        <w:t xml:space="preserve">corresponds to the net impact of </w:t>
      </w:r>
      <w:r w:rsidR="002A3D11" w:rsidRPr="00BA2A0B">
        <w:rPr>
          <w:rFonts w:ascii="Verdana" w:hAnsi="Verdana"/>
          <w:lang w:val="en-US"/>
        </w:rPr>
        <w:t xml:space="preserve">index-linked </w:t>
      </w:r>
      <w:r w:rsidR="002A3D11">
        <w:rPr>
          <w:rFonts w:ascii="Verdana" w:hAnsi="Verdana"/>
          <w:lang w:val="en-US"/>
        </w:rPr>
        <w:t xml:space="preserve">and unit-linked </w:t>
      </w:r>
      <w:r>
        <w:rPr>
          <w:rFonts w:ascii="Verdana" w:hAnsi="Verdana"/>
          <w:lang w:val="en-US"/>
        </w:rPr>
        <w:t>business, including technical flows (in this case the full amount as we are assuming only UL business) split by periods. This cell is for information only</w:t>
      </w:r>
      <w:r w:rsidR="00FC4763">
        <w:rPr>
          <w:rFonts w:ascii="Verdana" w:hAnsi="Verdana"/>
          <w:lang w:val="en-US"/>
        </w:rPr>
        <w:t>.</w:t>
      </w:r>
    </w:p>
    <w:p w:rsidR="00F6730F" w:rsidRPr="007853BA" w:rsidRDefault="00F6730F" w:rsidP="00F6730F">
      <w:pPr>
        <w:jc w:val="both"/>
        <w:rPr>
          <w:rFonts w:ascii="Verdana" w:hAnsi="Verdana"/>
          <w:lang w:val="en-US"/>
        </w:rPr>
      </w:pPr>
      <w:r>
        <w:rPr>
          <w:rFonts w:ascii="Verdana" w:hAnsi="Verdana"/>
          <w:lang w:val="en-US"/>
        </w:rPr>
        <w:t xml:space="preserve">R0070: </w:t>
      </w:r>
      <w:r w:rsidRPr="008620C2">
        <w:rPr>
          <w:rFonts w:ascii="Verdana" w:hAnsi="Verdana"/>
          <w:lang w:val="en-US"/>
        </w:rPr>
        <w:t xml:space="preserve">Note that the amount </w:t>
      </w:r>
      <w:r w:rsidRPr="00B947DA">
        <w:rPr>
          <w:rFonts w:ascii="Verdana" w:hAnsi="Verdana"/>
          <w:lang w:val="en-US"/>
        </w:rPr>
        <w:t>reported in S.29.03/R0360 and S.29.04/R0</w:t>
      </w:r>
      <w:r w:rsidR="00554E67">
        <w:rPr>
          <w:rFonts w:ascii="Verdana" w:hAnsi="Verdana"/>
          <w:lang w:val="en-US"/>
        </w:rPr>
        <w:t>070</w:t>
      </w:r>
      <w:r w:rsidRPr="00B947DA">
        <w:rPr>
          <w:rFonts w:ascii="Verdana" w:hAnsi="Verdana"/>
          <w:lang w:val="en-US"/>
        </w:rPr>
        <w:t xml:space="preserve">  should be the same</w:t>
      </w:r>
      <w:r w:rsidR="00DF0230" w:rsidRPr="00B947DA">
        <w:rPr>
          <w:rFonts w:ascii="Verdana" w:hAnsi="Verdana"/>
          <w:lang w:val="en-US"/>
        </w:rPr>
        <w:t>.</w:t>
      </w:r>
      <w:r w:rsidRPr="008620C2">
        <w:rPr>
          <w:rFonts w:ascii="Verdana" w:hAnsi="Verdana"/>
          <w:lang w:val="en-US"/>
        </w:rPr>
        <w:t xml:space="preserve"> </w:t>
      </w:r>
    </w:p>
    <w:p w:rsidR="00454DC3" w:rsidRPr="003D0AD7" w:rsidRDefault="00454DC3" w:rsidP="00D70DD7">
      <w:pPr>
        <w:jc w:val="both"/>
        <w:rPr>
          <w:rFonts w:ascii="Verdana" w:hAnsi="Verdana"/>
          <w:lang w:val="en-US"/>
        </w:rPr>
      </w:pPr>
    </w:p>
    <w:sectPr w:rsidR="00454DC3" w:rsidRPr="003D0AD7">
      <w:headerReference w:type="even" r:id="rId64"/>
      <w:headerReference w:type="default" r:id="rId65"/>
      <w:footerReference w:type="even" r:id="rId66"/>
      <w:footerReference w:type="default" r:id="rId67"/>
      <w:headerReference w:type="first" r:id="rId68"/>
      <w:footerReference w:type="first" r:id="rId69"/>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3FED8D6" w16cid:durableId="1E428EF5"/>
  <w16cid:commentId w16cid:paraId="5F9B0A96" w16cid:durableId="1E428E8A"/>
  <w16cid:commentId w16cid:paraId="1CD0ECB3" w16cid:durableId="1E428E8B"/>
  <w16cid:commentId w16cid:paraId="69E521DA" w16cid:durableId="1E428F46"/>
  <w16cid:commentId w16cid:paraId="3CE60A7E" w16cid:durableId="1E428F97"/>
  <w16cid:commentId w16cid:paraId="52023501" w16cid:durableId="1E428E8C"/>
  <w16cid:commentId w16cid:paraId="2E017566" w16cid:durableId="1E428E8D"/>
  <w16cid:commentId w16cid:paraId="35B75C1C" w16cid:durableId="1E428E8E"/>
  <w16cid:commentId w16cid:paraId="66BC5D3F" w16cid:durableId="1E4291C9"/>
  <w16cid:commentId w16cid:paraId="4517D2A6" w16cid:durableId="1E428E8F"/>
  <w16cid:commentId w16cid:paraId="1B7BC267" w16cid:durableId="1E428E90"/>
  <w16cid:commentId w16cid:paraId="0C5FF63E" w16cid:durableId="1E4292A8"/>
  <w16cid:commentId w16cid:paraId="2D977887" w16cid:durableId="1E428E91"/>
  <w16cid:commentId w16cid:paraId="59D0FC26" w16cid:durableId="1E428E92"/>
  <w16cid:commentId w16cid:paraId="06802007" w16cid:durableId="1E429344"/>
  <w16cid:commentId w16cid:paraId="76C6D119" w16cid:durableId="1E428E93"/>
  <w16cid:commentId w16cid:paraId="321E6814" w16cid:durableId="1E428E94"/>
  <w16cid:commentId w16cid:paraId="08302A45" w16cid:durableId="1E4293BE"/>
  <w16cid:commentId w16cid:paraId="1E5AFCAA" w16cid:durableId="1E428E95"/>
  <w16cid:commentId w16cid:paraId="3B4BEAE6" w16cid:durableId="1E428E96"/>
  <w16cid:commentId w16cid:paraId="02585FCE" w16cid:durableId="1E428E97"/>
  <w16cid:commentId w16cid:paraId="775B50D3" w16cid:durableId="1E428E98"/>
  <w16cid:commentId w16cid:paraId="7FA100DF" w16cid:durableId="1E428E99"/>
  <w16cid:commentId w16cid:paraId="288CF15C" w16cid:durableId="1E428E9A"/>
  <w16cid:commentId w16cid:paraId="335ED1EF" w16cid:durableId="1E428E9B"/>
  <w16cid:commentId w16cid:paraId="75E950FC" w16cid:durableId="1E428E9C"/>
  <w16cid:commentId w16cid:paraId="1F9CE186" w16cid:durableId="1E428E9D"/>
  <w16cid:commentId w16cid:paraId="52BF4444" w16cid:durableId="1E428E9E"/>
  <w16cid:commentId w16cid:paraId="2C6AB0E3" w16cid:durableId="1E428E9F"/>
  <w16cid:commentId w16cid:paraId="39DD1BA2" w16cid:durableId="1E428EA0"/>
  <w16cid:commentId w16cid:paraId="1FE6D17A" w16cid:durableId="1E429853"/>
  <w16cid:commentId w16cid:paraId="58EB60C7" w16cid:durableId="1E428EA1"/>
  <w16cid:commentId w16cid:paraId="5B4A06EB" w16cid:durableId="1E428EA2"/>
  <w16cid:commentId w16cid:paraId="7B23D29C" w16cid:durableId="1E428EA3"/>
  <w16cid:commentId w16cid:paraId="5C5808D2" w16cid:durableId="1E4298C8"/>
  <w16cid:commentId w16cid:paraId="7E9ADA9A" w16cid:durableId="1E429B10"/>
  <w16cid:commentId w16cid:paraId="53355B50" w16cid:durableId="1E428EA4"/>
  <w16cid:commentId w16cid:paraId="3AC3A137" w16cid:durableId="1E429EB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499E" w:rsidRDefault="00A4499E" w:rsidP="0099711E">
      <w:pPr>
        <w:spacing w:after="0" w:line="240" w:lineRule="auto"/>
      </w:pPr>
      <w:r>
        <w:separator/>
      </w:r>
    </w:p>
  </w:endnote>
  <w:endnote w:type="continuationSeparator" w:id="0">
    <w:p w:rsidR="00A4499E" w:rsidRDefault="00A4499E" w:rsidP="0099711E">
      <w:pPr>
        <w:spacing w:after="0" w:line="240" w:lineRule="auto"/>
      </w:pPr>
      <w:r>
        <w:continuationSeparator/>
      </w:r>
    </w:p>
  </w:endnote>
  <w:endnote w:type="continuationNotice" w:id="1">
    <w:p w:rsidR="00A4499E" w:rsidRDefault="00A4499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altName w:val="Verdana"/>
    <w:panose1 w:val="020B0604030504040204"/>
    <w:charset w:val="00"/>
    <w:family w:val="swiss"/>
    <w:pitch w:val="variable"/>
    <w:sig w:usb0="A10006FF" w:usb1="4000205B" w:usb2="00000010" w:usb3="00000000" w:csb0="0000019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Times New Roman">
    <w:altName w:val="Verdana"/>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30E8" w:rsidRDefault="003D30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9213938"/>
      <w:docPartObj>
        <w:docPartGallery w:val="Page Numbers (Bottom of Page)"/>
        <w:docPartUnique/>
      </w:docPartObj>
    </w:sdtPr>
    <w:sdtEndPr>
      <w:rPr>
        <w:noProof/>
      </w:rPr>
    </w:sdtEndPr>
    <w:sdtContent>
      <w:p w:rsidR="003D30E8" w:rsidRDefault="003D30E8">
        <w:pPr>
          <w:pStyle w:val="Footer"/>
          <w:jc w:val="center"/>
        </w:pPr>
        <w:r>
          <w:fldChar w:fldCharType="begin"/>
        </w:r>
        <w:r>
          <w:instrText xml:space="preserve"> PAGE   \* MERGEFORMAT </w:instrText>
        </w:r>
        <w:r>
          <w:fldChar w:fldCharType="separate"/>
        </w:r>
        <w:r w:rsidR="00290913">
          <w:rPr>
            <w:noProof/>
          </w:rPr>
          <w:t>81</w:t>
        </w:r>
        <w:r>
          <w:rPr>
            <w:noProof/>
          </w:rPr>
          <w:fldChar w:fldCharType="end"/>
        </w:r>
      </w:p>
    </w:sdtContent>
  </w:sdt>
  <w:p w:rsidR="003D30E8" w:rsidRDefault="003D30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30E8" w:rsidRDefault="003D30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499E" w:rsidRDefault="00A4499E" w:rsidP="0099711E">
      <w:pPr>
        <w:spacing w:after="0" w:line="240" w:lineRule="auto"/>
      </w:pPr>
      <w:r>
        <w:separator/>
      </w:r>
    </w:p>
  </w:footnote>
  <w:footnote w:type="continuationSeparator" w:id="0">
    <w:p w:rsidR="00A4499E" w:rsidRDefault="00A4499E" w:rsidP="0099711E">
      <w:pPr>
        <w:spacing w:after="0" w:line="240" w:lineRule="auto"/>
      </w:pPr>
      <w:r>
        <w:continuationSeparator/>
      </w:r>
    </w:p>
  </w:footnote>
  <w:footnote w:type="continuationNotice" w:id="1">
    <w:p w:rsidR="00A4499E" w:rsidRDefault="00A4499E">
      <w:pPr>
        <w:spacing w:after="0" w:line="240" w:lineRule="auto"/>
      </w:pPr>
    </w:p>
  </w:footnote>
  <w:footnote w:id="2">
    <w:p w:rsidR="003D30E8" w:rsidRPr="00F934B1" w:rsidRDefault="003D30E8">
      <w:pPr>
        <w:pStyle w:val="FootnoteText"/>
        <w:rPr>
          <w:lang w:val="en-GB"/>
        </w:rPr>
      </w:pPr>
      <w:r>
        <w:rPr>
          <w:rStyle w:val="FootnoteReference"/>
        </w:rPr>
        <w:footnoteRef/>
      </w:r>
      <w:r>
        <w:t xml:space="preserve"> </w:t>
      </w:r>
      <w:r>
        <w:rPr>
          <w:lang w:val="en-GB"/>
        </w:rPr>
        <w:t xml:space="preserve">The approach taken is to introduce only the changes absolutely needed. When Instructions in the reporting ITS were not contradicting the conclusions and guidance of this explanatory note they will not be amended and are to be read in conjunction with this document. </w:t>
      </w:r>
    </w:p>
  </w:footnote>
  <w:footnote w:id="3">
    <w:p w:rsidR="003D30E8" w:rsidRPr="00F934B1" w:rsidRDefault="003D30E8">
      <w:pPr>
        <w:pStyle w:val="FootnoteText"/>
        <w:rPr>
          <w:lang w:val="en-GB"/>
        </w:rPr>
      </w:pPr>
      <w:r>
        <w:rPr>
          <w:rStyle w:val="FootnoteReference"/>
        </w:rPr>
        <w:footnoteRef/>
      </w:r>
      <w:r>
        <w:t xml:space="preserve"> </w:t>
      </w:r>
      <w:r>
        <w:rPr>
          <w:lang w:val="en-GB"/>
        </w:rPr>
        <w:t xml:space="preserve">Only the Q&amp;A received though EIOPA tool have a number. The other Q&amp;A were received during the consultation process of this document. </w:t>
      </w:r>
    </w:p>
  </w:footnote>
  <w:footnote w:id="4">
    <w:p w:rsidR="003D30E8" w:rsidRPr="00150ECD" w:rsidRDefault="003D30E8" w:rsidP="00CB4E26">
      <w:pPr>
        <w:pStyle w:val="FootnoteText"/>
        <w:rPr>
          <w:lang w:val="en-GB"/>
        </w:rPr>
      </w:pPr>
      <w:r>
        <w:rPr>
          <w:rStyle w:val="FootnoteReference"/>
        </w:rPr>
        <w:footnoteRef/>
      </w:r>
      <w:r>
        <w:t xml:space="preserve"> </w:t>
      </w:r>
      <w:r>
        <w:rPr>
          <w:lang w:val="en-GB"/>
        </w:rPr>
        <w:t xml:space="preserve">Only the Q&amp;A received though EIOPA tool have a number. The other Q&amp;A were received during the consultation process of this document. </w:t>
      </w:r>
    </w:p>
  </w:footnote>
  <w:footnote w:id="5">
    <w:p w:rsidR="003D30E8" w:rsidRPr="00150ECD" w:rsidRDefault="003D30E8" w:rsidP="00CB4E26">
      <w:pPr>
        <w:pStyle w:val="FootnoteText"/>
        <w:rPr>
          <w:lang w:val="en-GB"/>
        </w:rPr>
      </w:pPr>
      <w:r>
        <w:rPr>
          <w:rStyle w:val="FootnoteReference"/>
        </w:rPr>
        <w:footnoteRef/>
      </w:r>
      <w:r>
        <w:t xml:space="preserve"> </w:t>
      </w:r>
      <w:r>
        <w:rPr>
          <w:lang w:val="en-GB"/>
        </w:rPr>
        <w:t xml:space="preserve">Only the Q&amp;A received though EIOPA tool have a number. The other Q&amp;A were received during the consultation process of this document. </w:t>
      </w:r>
    </w:p>
  </w:footnote>
  <w:footnote w:id="6">
    <w:p w:rsidR="003D30E8" w:rsidRPr="00150ECD" w:rsidRDefault="003D30E8" w:rsidP="00CB4E26">
      <w:pPr>
        <w:pStyle w:val="FootnoteText"/>
        <w:rPr>
          <w:lang w:val="en-GB"/>
        </w:rPr>
      </w:pPr>
      <w:r>
        <w:rPr>
          <w:rStyle w:val="FootnoteReference"/>
        </w:rPr>
        <w:footnoteRef/>
      </w:r>
      <w:r>
        <w:t xml:space="preserve"> </w:t>
      </w:r>
      <w:r>
        <w:rPr>
          <w:lang w:val="en-GB"/>
        </w:rPr>
        <w:t xml:space="preserve">Only the Q&amp;A received though EIOPA tool have a number. The other Q&amp;A were received during the consultation process of this document.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30E8" w:rsidRDefault="003D30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30E8" w:rsidRPr="00393BBA" w:rsidRDefault="003D30E8" w:rsidP="00393BBA">
    <w:pPr>
      <w:pStyle w:val="Header"/>
      <w:jc w:val="right"/>
      <w:rPr>
        <w:lang w:val="en-GB"/>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30E8" w:rsidRDefault="003D30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55D84"/>
    <w:multiLevelType w:val="hybridMultilevel"/>
    <w:tmpl w:val="D26C2CB4"/>
    <w:lvl w:ilvl="0" w:tplc="0DF0EA74">
      <w:start w:val="1"/>
      <w:numFmt w:val="lowerLetter"/>
      <w:lvlText w:val="%1)"/>
      <w:lvlJc w:val="left"/>
      <w:pPr>
        <w:ind w:left="720" w:hanging="360"/>
      </w:pPr>
      <w:rPr>
        <w:rFonts w:ascii="Arial" w:hAnsi="Arial" w:hint="default"/>
        <w:b w:val="0"/>
        <w:i w:val="0"/>
        <w:caps w:val="0"/>
        <w:strike w:val="0"/>
        <w:dstrike w:val="0"/>
        <w:vanish w:val="0"/>
        <w:color w:val="auto"/>
        <w:sz w:val="20"/>
        <w:szCs w:val="24"/>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612478"/>
    <w:multiLevelType w:val="hybridMultilevel"/>
    <w:tmpl w:val="A396501E"/>
    <w:lvl w:ilvl="0" w:tplc="27C2B91A">
      <w:numFmt w:val="bullet"/>
      <w:lvlText w:val="-"/>
      <w:lvlJc w:val="left"/>
      <w:pPr>
        <w:ind w:left="360" w:hanging="360"/>
      </w:pPr>
      <w:rPr>
        <w:rFonts w:ascii="Calibri" w:eastAsiaTheme="minorHAnsi" w:hAnsi="Calibri" w:cstheme="minorBidi"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2" w15:restartNumberingAfterBreak="0">
    <w:nsid w:val="01B81423"/>
    <w:multiLevelType w:val="hybridMultilevel"/>
    <w:tmpl w:val="6062F0B8"/>
    <w:lvl w:ilvl="0" w:tplc="2C8417F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226280E"/>
    <w:multiLevelType w:val="hybridMultilevel"/>
    <w:tmpl w:val="B4FE1E6C"/>
    <w:lvl w:ilvl="0" w:tplc="040C001B">
      <w:start w:val="1"/>
      <w:numFmt w:val="low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40A328C"/>
    <w:multiLevelType w:val="multilevel"/>
    <w:tmpl w:val="A8B48A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4AE2AFE"/>
    <w:multiLevelType w:val="hybridMultilevel"/>
    <w:tmpl w:val="0CE643CC"/>
    <w:lvl w:ilvl="0" w:tplc="9D0E9B4E">
      <w:start w:val="1"/>
      <w:numFmt w:val="lowerLetter"/>
      <w:lvlText w:val="%1)"/>
      <w:lvlJc w:val="left"/>
      <w:pPr>
        <w:ind w:left="720" w:hanging="360"/>
      </w:pPr>
      <w:rPr>
        <w:rFonts w:ascii="Verdana" w:hAnsi="Verdana" w:hint="default"/>
        <w:b w:val="0"/>
        <w:i w:val="0"/>
        <w:caps w:val="0"/>
        <w:strike w:val="0"/>
        <w:dstrike w:val="0"/>
        <w:vanish w:val="0"/>
        <w:color w:val="auto"/>
        <w:sz w:val="20"/>
        <w:szCs w:val="24"/>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53F00BE"/>
    <w:multiLevelType w:val="hybridMultilevel"/>
    <w:tmpl w:val="F072EF48"/>
    <w:lvl w:ilvl="0" w:tplc="FA50571A">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8013ABE"/>
    <w:multiLevelType w:val="hybridMultilevel"/>
    <w:tmpl w:val="F6A6D842"/>
    <w:lvl w:ilvl="0" w:tplc="08090017">
      <w:start w:val="1"/>
      <w:numFmt w:val="lowerLetter"/>
      <w:lvlText w:val="%1)"/>
      <w:lvlJc w:val="left"/>
      <w:pPr>
        <w:ind w:left="2160" w:hanging="360"/>
      </w:pPr>
    </w:lvl>
    <w:lvl w:ilvl="1" w:tplc="09A0AD0C">
      <w:start w:val="1"/>
      <w:numFmt w:val="lowerLetter"/>
      <w:lvlText w:val="(%2)"/>
      <w:lvlJc w:val="left"/>
      <w:pPr>
        <w:ind w:left="2880" w:hanging="360"/>
      </w:pPr>
      <w:rPr>
        <w:rFonts w:hint="default"/>
      </w:r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8" w15:restartNumberingAfterBreak="0">
    <w:nsid w:val="08850754"/>
    <w:multiLevelType w:val="hybridMultilevel"/>
    <w:tmpl w:val="80DC0F52"/>
    <w:lvl w:ilvl="0" w:tplc="D7C8AC8A">
      <w:numFmt w:val="bullet"/>
      <w:lvlText w:val="-"/>
      <w:lvlJc w:val="left"/>
      <w:pPr>
        <w:ind w:left="1440" w:hanging="360"/>
      </w:pPr>
      <w:rPr>
        <w:rFonts w:ascii="Calibri" w:eastAsiaTheme="minorHAnsi" w:hAnsi="Calibri"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0A0E6B1D"/>
    <w:multiLevelType w:val="hybridMultilevel"/>
    <w:tmpl w:val="E7B242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0BC95190"/>
    <w:multiLevelType w:val="hybridMultilevel"/>
    <w:tmpl w:val="044AC680"/>
    <w:lvl w:ilvl="0" w:tplc="2384043E">
      <w:start w:val="1"/>
      <w:numFmt w:val="lowerLetter"/>
      <w:lvlText w:val="%1)"/>
      <w:lvlJc w:val="left"/>
      <w:pPr>
        <w:ind w:left="720" w:hanging="360"/>
      </w:pPr>
      <w:rPr>
        <w:rFonts w:ascii="Times New Roman" w:eastAsiaTheme="minorHAnsi" w:hAnsi="Times New Roman" w:cs="Times New Roman" w:hint="default"/>
        <w:b w:val="0"/>
        <w:i w:val="0"/>
        <w:caps w:val="0"/>
        <w:strike w:val="0"/>
        <w:dstrike w:val="0"/>
        <w:vanish w:val="0"/>
        <w:color w:val="auto"/>
        <w:sz w:val="20"/>
        <w:szCs w:val="24"/>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2F90FD52">
      <w:start w:val="1"/>
      <w:numFmt w:val="lowerLetter"/>
      <w:lvlText w:val="%4)"/>
      <w:lvlJc w:val="left"/>
      <w:pPr>
        <w:ind w:left="2880" w:hanging="360"/>
      </w:pPr>
      <w:rPr>
        <w:rFonts w:ascii="Times New Roman" w:hAnsi="Times New Roman" w:hint="default"/>
        <w:b w:val="0"/>
        <w:i w:val="0"/>
        <w:caps w:val="0"/>
        <w:strike w:val="0"/>
        <w:dstrike w:val="0"/>
        <w:vanish w:val="0"/>
        <w:color w:val="auto"/>
        <w:sz w:val="20"/>
        <w:szCs w:val="24"/>
        <w:vertAlign w:val="baseline"/>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CCB7227"/>
    <w:multiLevelType w:val="hybridMultilevel"/>
    <w:tmpl w:val="0D4A51A8"/>
    <w:lvl w:ilvl="0" w:tplc="8B781D2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DCB5FB3"/>
    <w:multiLevelType w:val="hybridMultilevel"/>
    <w:tmpl w:val="986CEBE0"/>
    <w:lvl w:ilvl="0" w:tplc="0926798E">
      <w:start w:val="5"/>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F420B77"/>
    <w:multiLevelType w:val="hybridMultilevel"/>
    <w:tmpl w:val="23E22146"/>
    <w:lvl w:ilvl="0" w:tplc="9D0E9B4E">
      <w:start w:val="1"/>
      <w:numFmt w:val="lowerLetter"/>
      <w:lvlText w:val="%1)"/>
      <w:lvlJc w:val="left"/>
      <w:pPr>
        <w:ind w:left="720" w:hanging="360"/>
      </w:pPr>
      <w:rPr>
        <w:rFonts w:ascii="Verdana" w:hAnsi="Verdana" w:hint="default"/>
        <w:b w:val="0"/>
        <w:i w:val="0"/>
        <w:caps w:val="0"/>
        <w:strike w:val="0"/>
        <w:dstrike w:val="0"/>
        <w:vanish w:val="0"/>
        <w:color w:val="auto"/>
        <w:sz w:val="20"/>
        <w:szCs w:val="24"/>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0DC74C5"/>
    <w:multiLevelType w:val="hybridMultilevel"/>
    <w:tmpl w:val="1304D39A"/>
    <w:lvl w:ilvl="0" w:tplc="8B781D22">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13B40905"/>
    <w:multiLevelType w:val="hybridMultilevel"/>
    <w:tmpl w:val="F362A032"/>
    <w:lvl w:ilvl="0" w:tplc="05F83FB8">
      <w:start w:val="19"/>
      <w:numFmt w:val="bullet"/>
      <w:lvlText w:val="-"/>
      <w:lvlJc w:val="left"/>
      <w:pPr>
        <w:ind w:left="1069" w:hanging="360"/>
      </w:pPr>
      <w:rPr>
        <w:rFonts w:ascii="Verdana" w:eastAsiaTheme="minorHAnsi" w:hAnsi="Verdana" w:cstheme="minorBidi"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6" w15:restartNumberingAfterBreak="0">
    <w:nsid w:val="15192559"/>
    <w:multiLevelType w:val="hybridMultilevel"/>
    <w:tmpl w:val="E82464EC"/>
    <w:lvl w:ilvl="0" w:tplc="CDEC8BE2">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58D7D5A"/>
    <w:multiLevelType w:val="hybridMultilevel"/>
    <w:tmpl w:val="F8488BD6"/>
    <w:lvl w:ilvl="0" w:tplc="154EB1E4">
      <w:start w:val="1"/>
      <w:numFmt w:val="lowerLetter"/>
      <w:lvlText w:val="%1)"/>
      <w:lvlJc w:val="left"/>
      <w:pPr>
        <w:ind w:left="720" w:hanging="360"/>
      </w:pPr>
      <w:rPr>
        <w:rFonts w:ascii="Times New Roman" w:hAnsi="Times New Roman" w:hint="default"/>
        <w:b w:val="0"/>
        <w:i w:val="0"/>
        <w:caps w:val="0"/>
        <w:strike w:val="0"/>
        <w:dstrike w:val="0"/>
        <w:vanish w:val="0"/>
        <w:color w:val="auto"/>
        <w:sz w:val="20"/>
        <w:szCs w:val="24"/>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7B51E67"/>
    <w:multiLevelType w:val="hybridMultilevel"/>
    <w:tmpl w:val="2C4835F6"/>
    <w:lvl w:ilvl="0" w:tplc="8B781D22">
      <w:start w:val="1"/>
      <w:numFmt w:val="bullet"/>
      <w:lvlText w:val=""/>
      <w:lvlJc w:val="left"/>
      <w:pPr>
        <w:ind w:left="920" w:hanging="360"/>
      </w:pPr>
      <w:rPr>
        <w:rFonts w:ascii="Symbol" w:hAnsi="Symbol" w:hint="default"/>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19" w15:restartNumberingAfterBreak="0">
    <w:nsid w:val="1A8D4FBD"/>
    <w:multiLevelType w:val="hybridMultilevel"/>
    <w:tmpl w:val="8E52483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1ADC2792"/>
    <w:multiLevelType w:val="hybridMultilevel"/>
    <w:tmpl w:val="CB703562"/>
    <w:lvl w:ilvl="0" w:tplc="26AAA3E4">
      <w:numFmt w:val="bullet"/>
      <w:lvlText w:val="-"/>
      <w:lvlJc w:val="left"/>
      <w:pPr>
        <w:ind w:left="720" w:hanging="360"/>
      </w:pPr>
      <w:rPr>
        <w:rFonts w:ascii="Calibri" w:eastAsiaTheme="minorHAnsi" w:hAnsi="Calibri" w:cstheme="minorBidi"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1" w15:restartNumberingAfterBreak="0">
    <w:nsid w:val="1F763793"/>
    <w:multiLevelType w:val="hybridMultilevel"/>
    <w:tmpl w:val="D0DAEA94"/>
    <w:lvl w:ilvl="0" w:tplc="E7703E2E">
      <w:numFmt w:val="bullet"/>
      <w:lvlText w:val="-"/>
      <w:lvlJc w:val="left"/>
      <w:pPr>
        <w:ind w:left="405" w:hanging="360"/>
      </w:pPr>
      <w:rPr>
        <w:rFonts w:ascii="Calibri" w:eastAsiaTheme="minorHAnsi" w:hAnsi="Calibri" w:cs="Calibr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22" w15:restartNumberingAfterBreak="0">
    <w:nsid w:val="1FEF3929"/>
    <w:multiLevelType w:val="hybridMultilevel"/>
    <w:tmpl w:val="52B0B340"/>
    <w:lvl w:ilvl="0" w:tplc="51B4D58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9416541"/>
    <w:multiLevelType w:val="hybridMultilevel"/>
    <w:tmpl w:val="71542912"/>
    <w:lvl w:ilvl="0" w:tplc="8B781D2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2A426F39"/>
    <w:multiLevelType w:val="hybridMultilevel"/>
    <w:tmpl w:val="F9721AB6"/>
    <w:lvl w:ilvl="0" w:tplc="2FEE4574">
      <w:start w:val="1"/>
      <w:numFmt w:val="lowerRoman"/>
      <w:lvlText w:val="%1."/>
      <w:lvlJc w:val="right"/>
      <w:pPr>
        <w:ind w:left="720" w:hanging="360"/>
      </w:pPr>
      <w:rPr>
        <w:rFonts w:ascii="Times New Roman" w:hAnsi="Times New Roman" w:hint="default"/>
        <w:b w:val="0"/>
        <w:i w:val="0"/>
        <w:caps w:val="0"/>
        <w:strike w:val="0"/>
        <w:dstrike w:val="0"/>
        <w:vanish w:val="0"/>
        <w:color w:val="auto"/>
        <w:sz w:val="20"/>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B510705"/>
    <w:multiLevelType w:val="hybridMultilevel"/>
    <w:tmpl w:val="EC484F96"/>
    <w:lvl w:ilvl="0" w:tplc="8B781D22">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30E155E0"/>
    <w:multiLevelType w:val="hybridMultilevel"/>
    <w:tmpl w:val="13FC23FE"/>
    <w:lvl w:ilvl="0" w:tplc="815403D4">
      <w:start w:val="1"/>
      <w:numFmt w:val="lowerLetter"/>
      <w:lvlText w:val="%1)"/>
      <w:lvlJc w:val="left"/>
      <w:pPr>
        <w:ind w:left="720" w:hanging="360"/>
      </w:pPr>
      <w:rPr>
        <w:rFonts w:ascii="Times New Roman" w:hAnsi="Times New Roman" w:hint="default"/>
        <w:b w:val="0"/>
        <w:i w:val="0"/>
        <w:caps w:val="0"/>
        <w:strike w:val="0"/>
        <w:dstrike w:val="0"/>
        <w:vanish w:val="0"/>
        <w:color w:val="auto"/>
        <w:sz w:val="20"/>
        <w:szCs w:val="24"/>
        <w:vertAlign w:val="baseli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38A008E"/>
    <w:multiLevelType w:val="hybridMultilevel"/>
    <w:tmpl w:val="FD6A71B6"/>
    <w:lvl w:ilvl="0" w:tplc="B7B4128C">
      <w:start w:val="5"/>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43501CC"/>
    <w:multiLevelType w:val="hybridMultilevel"/>
    <w:tmpl w:val="36247A00"/>
    <w:lvl w:ilvl="0" w:tplc="8B781D22">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35540FD0"/>
    <w:multiLevelType w:val="hybridMultilevel"/>
    <w:tmpl w:val="8E98C0FA"/>
    <w:lvl w:ilvl="0" w:tplc="B7165E02">
      <w:start w:val="1"/>
      <w:numFmt w:val="bullet"/>
      <w:lvlText w:val=""/>
      <w:lvlJc w:val="left"/>
      <w:pPr>
        <w:tabs>
          <w:tab w:val="num" w:pos="1774"/>
        </w:tabs>
        <w:ind w:left="1774" w:hanging="284"/>
      </w:pPr>
      <w:rPr>
        <w:rFonts w:ascii="Symbol" w:hAnsi="Symbol" w:hint="default"/>
        <w:color w:val="auto"/>
        <w:u w:color="000080"/>
      </w:rPr>
    </w:lvl>
    <w:lvl w:ilvl="1" w:tplc="08090003" w:tentative="1">
      <w:start w:val="1"/>
      <w:numFmt w:val="bullet"/>
      <w:lvlText w:val="o"/>
      <w:lvlJc w:val="left"/>
      <w:pPr>
        <w:tabs>
          <w:tab w:val="num" w:pos="1490"/>
        </w:tabs>
        <w:ind w:left="1490" w:hanging="360"/>
      </w:pPr>
      <w:rPr>
        <w:rFonts w:ascii="Courier New" w:hAnsi="Courier New" w:cs="Courier New" w:hint="default"/>
      </w:rPr>
    </w:lvl>
    <w:lvl w:ilvl="2" w:tplc="08090005" w:tentative="1">
      <w:start w:val="1"/>
      <w:numFmt w:val="bullet"/>
      <w:lvlText w:val=""/>
      <w:lvlJc w:val="left"/>
      <w:pPr>
        <w:tabs>
          <w:tab w:val="num" w:pos="2210"/>
        </w:tabs>
        <w:ind w:left="2210" w:hanging="360"/>
      </w:pPr>
      <w:rPr>
        <w:rFonts w:ascii="Wingdings" w:hAnsi="Wingdings" w:hint="default"/>
      </w:rPr>
    </w:lvl>
    <w:lvl w:ilvl="3" w:tplc="08090001" w:tentative="1">
      <w:start w:val="1"/>
      <w:numFmt w:val="bullet"/>
      <w:lvlText w:val=""/>
      <w:lvlJc w:val="left"/>
      <w:pPr>
        <w:tabs>
          <w:tab w:val="num" w:pos="2930"/>
        </w:tabs>
        <w:ind w:left="2930" w:hanging="360"/>
      </w:pPr>
      <w:rPr>
        <w:rFonts w:ascii="Symbol" w:hAnsi="Symbol" w:hint="default"/>
      </w:rPr>
    </w:lvl>
    <w:lvl w:ilvl="4" w:tplc="08090003" w:tentative="1">
      <w:start w:val="1"/>
      <w:numFmt w:val="bullet"/>
      <w:lvlText w:val="o"/>
      <w:lvlJc w:val="left"/>
      <w:pPr>
        <w:tabs>
          <w:tab w:val="num" w:pos="3650"/>
        </w:tabs>
        <w:ind w:left="3650" w:hanging="360"/>
      </w:pPr>
      <w:rPr>
        <w:rFonts w:ascii="Courier New" w:hAnsi="Courier New" w:cs="Courier New" w:hint="default"/>
      </w:rPr>
    </w:lvl>
    <w:lvl w:ilvl="5" w:tplc="08090005" w:tentative="1">
      <w:start w:val="1"/>
      <w:numFmt w:val="bullet"/>
      <w:lvlText w:val=""/>
      <w:lvlJc w:val="left"/>
      <w:pPr>
        <w:tabs>
          <w:tab w:val="num" w:pos="4370"/>
        </w:tabs>
        <w:ind w:left="4370" w:hanging="360"/>
      </w:pPr>
      <w:rPr>
        <w:rFonts w:ascii="Wingdings" w:hAnsi="Wingdings" w:hint="default"/>
      </w:rPr>
    </w:lvl>
    <w:lvl w:ilvl="6" w:tplc="08090001" w:tentative="1">
      <w:start w:val="1"/>
      <w:numFmt w:val="bullet"/>
      <w:lvlText w:val=""/>
      <w:lvlJc w:val="left"/>
      <w:pPr>
        <w:tabs>
          <w:tab w:val="num" w:pos="5090"/>
        </w:tabs>
        <w:ind w:left="5090" w:hanging="360"/>
      </w:pPr>
      <w:rPr>
        <w:rFonts w:ascii="Symbol" w:hAnsi="Symbol" w:hint="default"/>
      </w:rPr>
    </w:lvl>
    <w:lvl w:ilvl="7" w:tplc="08090003" w:tentative="1">
      <w:start w:val="1"/>
      <w:numFmt w:val="bullet"/>
      <w:lvlText w:val="o"/>
      <w:lvlJc w:val="left"/>
      <w:pPr>
        <w:tabs>
          <w:tab w:val="num" w:pos="5810"/>
        </w:tabs>
        <w:ind w:left="5810" w:hanging="360"/>
      </w:pPr>
      <w:rPr>
        <w:rFonts w:ascii="Courier New" w:hAnsi="Courier New" w:cs="Courier New" w:hint="default"/>
      </w:rPr>
    </w:lvl>
    <w:lvl w:ilvl="8" w:tplc="08090005" w:tentative="1">
      <w:start w:val="1"/>
      <w:numFmt w:val="bullet"/>
      <w:lvlText w:val=""/>
      <w:lvlJc w:val="left"/>
      <w:pPr>
        <w:tabs>
          <w:tab w:val="num" w:pos="6530"/>
        </w:tabs>
        <w:ind w:left="6530" w:hanging="360"/>
      </w:pPr>
      <w:rPr>
        <w:rFonts w:ascii="Wingdings" w:hAnsi="Wingdings" w:hint="default"/>
      </w:rPr>
    </w:lvl>
  </w:abstractNum>
  <w:abstractNum w:abstractNumId="30" w15:restartNumberingAfterBreak="0">
    <w:nsid w:val="37894CDB"/>
    <w:multiLevelType w:val="hybridMultilevel"/>
    <w:tmpl w:val="6D06E970"/>
    <w:lvl w:ilvl="0" w:tplc="73D88ABA">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3820739B"/>
    <w:multiLevelType w:val="hybridMultilevel"/>
    <w:tmpl w:val="643A8360"/>
    <w:lvl w:ilvl="0" w:tplc="EA50AF1C">
      <w:start w:val="1"/>
      <w:numFmt w:val="decimal"/>
      <w:lvlText w:val="%1)"/>
      <w:lvlJc w:val="left"/>
      <w:pPr>
        <w:ind w:left="720" w:hanging="360"/>
      </w:pPr>
      <w:rPr>
        <w:rFonts w:hint="default"/>
        <w:u w:val="singl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38844EA8"/>
    <w:multiLevelType w:val="hybridMultilevel"/>
    <w:tmpl w:val="8DC657FC"/>
    <w:lvl w:ilvl="0" w:tplc="08090001">
      <w:start w:val="1"/>
      <w:numFmt w:val="bullet"/>
      <w:lvlText w:val=""/>
      <w:lvlJc w:val="left"/>
      <w:pPr>
        <w:ind w:left="753" w:hanging="360"/>
      </w:pPr>
      <w:rPr>
        <w:rFonts w:ascii="Symbol" w:hAnsi="Symbo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33" w15:restartNumberingAfterBreak="0">
    <w:nsid w:val="3A614FA9"/>
    <w:multiLevelType w:val="hybridMultilevel"/>
    <w:tmpl w:val="8BEC5FF6"/>
    <w:lvl w:ilvl="0" w:tplc="0CF462B6">
      <w:start w:val="1"/>
      <w:numFmt w:val="lowerRoman"/>
      <w:lvlText w:val="%1."/>
      <w:lvlJc w:val="right"/>
      <w:pPr>
        <w:ind w:left="720" w:hanging="360"/>
      </w:pPr>
      <w:rPr>
        <w:rFonts w:ascii="Times New Roman" w:hAnsi="Times New Roman" w:hint="default"/>
        <w:b w:val="0"/>
        <w:i w:val="0"/>
        <w:caps w:val="0"/>
        <w:strike w:val="0"/>
        <w:dstrike w:val="0"/>
        <w:vanish w:val="0"/>
        <w:color w:val="auto"/>
        <w:sz w:val="2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3A686331"/>
    <w:multiLevelType w:val="hybridMultilevel"/>
    <w:tmpl w:val="4F18C9FA"/>
    <w:lvl w:ilvl="0" w:tplc="5F06F680">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3B3A5DF7"/>
    <w:multiLevelType w:val="hybridMultilevel"/>
    <w:tmpl w:val="D294EFE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3CE965E4"/>
    <w:multiLevelType w:val="hybridMultilevel"/>
    <w:tmpl w:val="2B7C968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7" w15:restartNumberingAfterBreak="0">
    <w:nsid w:val="3D483106"/>
    <w:multiLevelType w:val="hybridMultilevel"/>
    <w:tmpl w:val="ECF874CE"/>
    <w:lvl w:ilvl="0" w:tplc="0DC248BE">
      <w:start w:val="1"/>
      <w:numFmt w:val="lowerRoman"/>
      <w:lvlText w:val="%1."/>
      <w:lvlJc w:val="right"/>
      <w:pPr>
        <w:ind w:left="720" w:hanging="360"/>
      </w:pPr>
      <w:rPr>
        <w:rFonts w:ascii="Times New Roman" w:hAnsi="Times New Roman" w:hint="default"/>
        <w:b w:val="0"/>
        <w:i w:val="0"/>
        <w:caps w:val="0"/>
        <w:strike w:val="0"/>
        <w:dstrike w:val="0"/>
        <w:vanish w:val="0"/>
        <w:color w:val="auto"/>
        <w:sz w:val="2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3E3702BA"/>
    <w:multiLevelType w:val="hybridMultilevel"/>
    <w:tmpl w:val="AF0A9998"/>
    <w:lvl w:ilvl="0" w:tplc="4E9C3DAE">
      <w:start w:val="1"/>
      <w:numFmt w:val="lowerLetter"/>
      <w:lvlText w:val="%1)"/>
      <w:lvlJc w:val="left"/>
      <w:pPr>
        <w:ind w:left="720" w:hanging="360"/>
      </w:pPr>
      <w:rPr>
        <w:rFonts w:ascii="Times New Roman" w:hAnsi="Times New Roman" w:hint="default"/>
        <w:b w:val="0"/>
        <w:i w:val="0"/>
        <w:caps w:val="0"/>
        <w:strike w:val="0"/>
        <w:dstrike w:val="0"/>
        <w:vanish w:val="0"/>
        <w:color w:val="auto"/>
        <w:sz w:val="20"/>
        <w:szCs w:val="24"/>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3F0B44C4"/>
    <w:multiLevelType w:val="hybridMultilevel"/>
    <w:tmpl w:val="0024C7E0"/>
    <w:lvl w:ilvl="0" w:tplc="DF3CC5FC">
      <w:start w:val="1"/>
      <w:numFmt w:val="decimal"/>
      <w:lvlText w:val="(%1)"/>
      <w:lvlJc w:val="left"/>
      <w:pPr>
        <w:tabs>
          <w:tab w:val="num" w:pos="1418"/>
        </w:tabs>
        <w:ind w:left="1418" w:hanging="360"/>
      </w:pPr>
      <w:rPr>
        <w:rFonts w:ascii="Verdana" w:hAnsi="Verdana" w:hint="default"/>
        <w:sz w:val="22"/>
        <w:szCs w:val="22"/>
      </w:rPr>
    </w:lvl>
    <w:lvl w:ilvl="1" w:tplc="CB90FDE2">
      <w:start w:val="1"/>
      <w:numFmt w:val="lowerLetter"/>
      <w:lvlText w:val="%2."/>
      <w:lvlJc w:val="left"/>
      <w:pPr>
        <w:tabs>
          <w:tab w:val="num" w:pos="3621"/>
        </w:tabs>
        <w:ind w:left="3621" w:hanging="360"/>
      </w:pPr>
      <w:rPr>
        <w:i w:val="0"/>
      </w:rPr>
    </w:lvl>
    <w:lvl w:ilvl="2" w:tplc="81E81FC4">
      <w:start w:val="1"/>
      <w:numFmt w:val="lowerRoman"/>
      <w:lvlText w:val="%3."/>
      <w:lvlJc w:val="right"/>
      <w:pPr>
        <w:tabs>
          <w:tab w:val="num" w:pos="3920"/>
        </w:tabs>
        <w:ind w:left="3920" w:hanging="180"/>
      </w:pPr>
      <w:rPr>
        <w:color w:val="auto"/>
      </w:rPr>
    </w:lvl>
    <w:lvl w:ilvl="3" w:tplc="6430101A">
      <w:start w:val="1"/>
      <w:numFmt w:val="decimal"/>
      <w:lvlText w:val="(%4)"/>
      <w:lvlJc w:val="left"/>
      <w:pPr>
        <w:tabs>
          <w:tab w:val="num" w:pos="4658"/>
        </w:tabs>
        <w:ind w:left="4658" w:hanging="360"/>
      </w:pPr>
      <w:rPr>
        <w:rFonts w:ascii="Times New Roman" w:hAnsi="Times New Roman" w:cs="Times New Roman" w:hint="default"/>
        <w:sz w:val="24"/>
        <w:szCs w:val="24"/>
      </w:rPr>
    </w:lvl>
    <w:lvl w:ilvl="4" w:tplc="571AE866">
      <w:start w:val="1"/>
      <w:numFmt w:val="lowerLetter"/>
      <w:lvlText w:val="%5)"/>
      <w:lvlJc w:val="left"/>
      <w:pPr>
        <w:ind w:left="5378" w:hanging="360"/>
      </w:pPr>
      <w:rPr>
        <w:rFonts w:hint="default"/>
      </w:rPr>
    </w:lvl>
    <w:lvl w:ilvl="5" w:tplc="0809001B" w:tentative="1">
      <w:start w:val="1"/>
      <w:numFmt w:val="lowerRoman"/>
      <w:lvlText w:val="%6."/>
      <w:lvlJc w:val="right"/>
      <w:pPr>
        <w:tabs>
          <w:tab w:val="num" w:pos="6098"/>
        </w:tabs>
        <w:ind w:left="6098" w:hanging="180"/>
      </w:pPr>
    </w:lvl>
    <w:lvl w:ilvl="6" w:tplc="0809000F" w:tentative="1">
      <w:start w:val="1"/>
      <w:numFmt w:val="decimal"/>
      <w:lvlText w:val="%7."/>
      <w:lvlJc w:val="left"/>
      <w:pPr>
        <w:tabs>
          <w:tab w:val="num" w:pos="6818"/>
        </w:tabs>
        <w:ind w:left="6818" w:hanging="360"/>
      </w:pPr>
    </w:lvl>
    <w:lvl w:ilvl="7" w:tplc="08090019" w:tentative="1">
      <w:start w:val="1"/>
      <w:numFmt w:val="lowerLetter"/>
      <w:lvlText w:val="%8."/>
      <w:lvlJc w:val="left"/>
      <w:pPr>
        <w:tabs>
          <w:tab w:val="num" w:pos="7538"/>
        </w:tabs>
        <w:ind w:left="7538" w:hanging="360"/>
      </w:pPr>
    </w:lvl>
    <w:lvl w:ilvl="8" w:tplc="0809001B" w:tentative="1">
      <w:start w:val="1"/>
      <w:numFmt w:val="lowerRoman"/>
      <w:lvlText w:val="%9."/>
      <w:lvlJc w:val="right"/>
      <w:pPr>
        <w:tabs>
          <w:tab w:val="num" w:pos="8258"/>
        </w:tabs>
        <w:ind w:left="8258" w:hanging="180"/>
      </w:pPr>
    </w:lvl>
  </w:abstractNum>
  <w:abstractNum w:abstractNumId="40" w15:restartNumberingAfterBreak="0">
    <w:nsid w:val="3F223A16"/>
    <w:multiLevelType w:val="hybridMultilevel"/>
    <w:tmpl w:val="28025BF6"/>
    <w:lvl w:ilvl="0" w:tplc="4000AF46">
      <w:start w:val="1"/>
      <w:numFmt w:val="lowerLetter"/>
      <w:lvlText w:val="%1)"/>
      <w:lvlJc w:val="left"/>
      <w:pPr>
        <w:ind w:left="822" w:hanging="360"/>
      </w:pPr>
      <w:rPr>
        <w:rFonts w:ascii="Times Roman" w:hAnsi="Times Roman" w:hint="default"/>
        <w:b w:val="0"/>
        <w:i w:val="0"/>
        <w:caps w:val="0"/>
        <w:strike w:val="0"/>
        <w:dstrike w:val="0"/>
        <w:vanish w:val="0"/>
        <w:color w:val="auto"/>
        <w:sz w:val="20"/>
        <w:szCs w:val="24"/>
        <w:vertAlign w:val="baseline"/>
      </w:rPr>
    </w:lvl>
    <w:lvl w:ilvl="1" w:tplc="08090019" w:tentative="1">
      <w:start w:val="1"/>
      <w:numFmt w:val="lowerLetter"/>
      <w:lvlText w:val="%2."/>
      <w:lvlJc w:val="left"/>
      <w:pPr>
        <w:ind w:left="1542" w:hanging="360"/>
      </w:pPr>
    </w:lvl>
    <w:lvl w:ilvl="2" w:tplc="0809001B" w:tentative="1">
      <w:start w:val="1"/>
      <w:numFmt w:val="lowerRoman"/>
      <w:lvlText w:val="%3."/>
      <w:lvlJc w:val="right"/>
      <w:pPr>
        <w:ind w:left="2262" w:hanging="180"/>
      </w:pPr>
    </w:lvl>
    <w:lvl w:ilvl="3" w:tplc="0809000F" w:tentative="1">
      <w:start w:val="1"/>
      <w:numFmt w:val="decimal"/>
      <w:lvlText w:val="%4."/>
      <w:lvlJc w:val="left"/>
      <w:pPr>
        <w:ind w:left="2982" w:hanging="360"/>
      </w:pPr>
    </w:lvl>
    <w:lvl w:ilvl="4" w:tplc="08090019" w:tentative="1">
      <w:start w:val="1"/>
      <w:numFmt w:val="lowerLetter"/>
      <w:lvlText w:val="%5."/>
      <w:lvlJc w:val="left"/>
      <w:pPr>
        <w:ind w:left="3702" w:hanging="360"/>
      </w:pPr>
    </w:lvl>
    <w:lvl w:ilvl="5" w:tplc="0809001B" w:tentative="1">
      <w:start w:val="1"/>
      <w:numFmt w:val="lowerRoman"/>
      <w:lvlText w:val="%6."/>
      <w:lvlJc w:val="right"/>
      <w:pPr>
        <w:ind w:left="4422" w:hanging="180"/>
      </w:pPr>
    </w:lvl>
    <w:lvl w:ilvl="6" w:tplc="0809000F" w:tentative="1">
      <w:start w:val="1"/>
      <w:numFmt w:val="decimal"/>
      <w:lvlText w:val="%7."/>
      <w:lvlJc w:val="left"/>
      <w:pPr>
        <w:ind w:left="5142" w:hanging="360"/>
      </w:pPr>
    </w:lvl>
    <w:lvl w:ilvl="7" w:tplc="08090019" w:tentative="1">
      <w:start w:val="1"/>
      <w:numFmt w:val="lowerLetter"/>
      <w:lvlText w:val="%8."/>
      <w:lvlJc w:val="left"/>
      <w:pPr>
        <w:ind w:left="5862" w:hanging="360"/>
      </w:pPr>
    </w:lvl>
    <w:lvl w:ilvl="8" w:tplc="0809001B" w:tentative="1">
      <w:start w:val="1"/>
      <w:numFmt w:val="lowerRoman"/>
      <w:lvlText w:val="%9."/>
      <w:lvlJc w:val="right"/>
      <w:pPr>
        <w:ind w:left="6582" w:hanging="180"/>
      </w:pPr>
    </w:lvl>
  </w:abstractNum>
  <w:abstractNum w:abstractNumId="41" w15:restartNumberingAfterBreak="0">
    <w:nsid w:val="47D87D39"/>
    <w:multiLevelType w:val="hybridMultilevel"/>
    <w:tmpl w:val="B130ED86"/>
    <w:lvl w:ilvl="0" w:tplc="05F83FB8">
      <w:start w:val="19"/>
      <w:numFmt w:val="bullet"/>
      <w:lvlText w:val="-"/>
      <w:lvlJc w:val="left"/>
      <w:pPr>
        <w:ind w:left="1789" w:hanging="360"/>
      </w:pPr>
      <w:rPr>
        <w:rFonts w:ascii="Verdana" w:eastAsiaTheme="minorHAnsi" w:hAnsi="Verdana" w:cstheme="minorBidi"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2" w15:restartNumberingAfterBreak="0">
    <w:nsid w:val="48F517EF"/>
    <w:multiLevelType w:val="hybridMultilevel"/>
    <w:tmpl w:val="A21A438E"/>
    <w:lvl w:ilvl="0" w:tplc="08090019">
      <w:start w:val="1"/>
      <w:numFmt w:val="lowerLetter"/>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43" w15:restartNumberingAfterBreak="0">
    <w:nsid w:val="4B960A50"/>
    <w:multiLevelType w:val="hybridMultilevel"/>
    <w:tmpl w:val="881AD8C8"/>
    <w:lvl w:ilvl="0" w:tplc="DF4ADC22">
      <w:start w:val="1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BDA255E"/>
    <w:multiLevelType w:val="hybridMultilevel"/>
    <w:tmpl w:val="896C8670"/>
    <w:lvl w:ilvl="0" w:tplc="08090001">
      <w:start w:val="1"/>
      <w:numFmt w:val="bullet"/>
      <w:lvlText w:val=""/>
      <w:lvlJc w:val="left"/>
      <w:pPr>
        <w:ind w:left="753" w:hanging="360"/>
      </w:pPr>
      <w:rPr>
        <w:rFonts w:ascii="Symbol" w:hAnsi="Symbo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45" w15:restartNumberingAfterBreak="0">
    <w:nsid w:val="4E351D9C"/>
    <w:multiLevelType w:val="hybridMultilevel"/>
    <w:tmpl w:val="2C82F2B6"/>
    <w:lvl w:ilvl="0" w:tplc="CB32B4F2">
      <w:start w:val="1"/>
      <w:numFmt w:val="decimal"/>
      <w:lvlText w:val="1.%1."/>
      <w:lvlJc w:val="left"/>
      <w:pPr>
        <w:ind w:left="720" w:hanging="360"/>
      </w:pPr>
      <w:rPr>
        <w:rFonts w:hint="default"/>
        <w:sz w:val="22"/>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4E666DD0"/>
    <w:multiLevelType w:val="hybridMultilevel"/>
    <w:tmpl w:val="3D1CE05C"/>
    <w:lvl w:ilvl="0" w:tplc="8B781D2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4FC331DD"/>
    <w:multiLevelType w:val="hybridMultilevel"/>
    <w:tmpl w:val="528E9D52"/>
    <w:lvl w:ilvl="0" w:tplc="B518E57C">
      <w:start w:val="19"/>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FFC39FC"/>
    <w:multiLevelType w:val="hybridMultilevel"/>
    <w:tmpl w:val="8D22E7A8"/>
    <w:lvl w:ilvl="0" w:tplc="5F06F680">
      <w:numFmt w:val="bullet"/>
      <w:lvlText w:val="-"/>
      <w:lvlJc w:val="left"/>
      <w:pPr>
        <w:ind w:left="720" w:hanging="360"/>
      </w:pPr>
      <w:rPr>
        <w:rFonts w:ascii="Times New Roman" w:eastAsia="Times New Roman" w:hAnsi="Times New Roman" w:cs="Times New Roman" w:hint="default"/>
      </w:rPr>
    </w:lvl>
    <w:lvl w:ilvl="1" w:tplc="8B781D22">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50DA7FCC"/>
    <w:multiLevelType w:val="hybridMultilevel"/>
    <w:tmpl w:val="F508F3B4"/>
    <w:lvl w:ilvl="0" w:tplc="8B781D22">
      <w:start w:val="1"/>
      <w:numFmt w:val="bullet"/>
      <w:lvlText w:val=""/>
      <w:lvlJc w:val="left"/>
      <w:pPr>
        <w:ind w:left="920" w:hanging="360"/>
      </w:pPr>
      <w:rPr>
        <w:rFonts w:ascii="Symbol" w:hAnsi="Symbol" w:hint="default"/>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50" w15:restartNumberingAfterBreak="0">
    <w:nsid w:val="53940FD0"/>
    <w:multiLevelType w:val="hybridMultilevel"/>
    <w:tmpl w:val="BD4E07C8"/>
    <w:lvl w:ilvl="0" w:tplc="3098A378">
      <w:start w:val="1"/>
      <w:numFmt w:val="decimal"/>
      <w:lvlText w:val="(%1)"/>
      <w:lvlJc w:val="left"/>
      <w:pPr>
        <w:ind w:left="720" w:hanging="360"/>
      </w:pPr>
      <w:rPr>
        <w:rFonts w:ascii="Times New Roman" w:hAnsi="Times New Roman" w:cs="Times New Roman" w:hint="default"/>
        <w:sz w:val="24"/>
        <w:szCs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1" w15:restartNumberingAfterBreak="0">
    <w:nsid w:val="54005B01"/>
    <w:multiLevelType w:val="hybridMultilevel"/>
    <w:tmpl w:val="157475B4"/>
    <w:lvl w:ilvl="0" w:tplc="05F83FB8">
      <w:start w:val="19"/>
      <w:numFmt w:val="bullet"/>
      <w:lvlText w:val="-"/>
      <w:lvlJc w:val="left"/>
      <w:pPr>
        <w:ind w:left="720" w:hanging="360"/>
      </w:pPr>
      <w:rPr>
        <w:rFonts w:ascii="Verdana" w:eastAsiaTheme="minorHAnsi" w:hAnsi="Verdana" w:cstheme="minorBid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2" w15:restartNumberingAfterBreak="0">
    <w:nsid w:val="558929EA"/>
    <w:multiLevelType w:val="hybridMultilevel"/>
    <w:tmpl w:val="7876D4DC"/>
    <w:lvl w:ilvl="0" w:tplc="EC5E5B56">
      <w:start w:val="1"/>
      <w:numFmt w:val="decimal"/>
      <w:lvlText w:val="%1 -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56AC5C4E"/>
    <w:multiLevelType w:val="hybridMultilevel"/>
    <w:tmpl w:val="D4FA38C4"/>
    <w:lvl w:ilvl="0" w:tplc="FE269516">
      <w:numFmt w:val="bullet"/>
      <w:lvlText w:val="-"/>
      <w:lvlJc w:val="left"/>
      <w:pPr>
        <w:ind w:left="720" w:hanging="360"/>
      </w:pPr>
      <w:rPr>
        <w:rFonts w:ascii="Verdana" w:eastAsia="Calibri" w:hAnsi="Verdana"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4" w15:restartNumberingAfterBreak="0">
    <w:nsid w:val="58A33C57"/>
    <w:multiLevelType w:val="hybridMultilevel"/>
    <w:tmpl w:val="1C76205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55" w15:restartNumberingAfterBreak="0">
    <w:nsid w:val="59044446"/>
    <w:multiLevelType w:val="hybridMultilevel"/>
    <w:tmpl w:val="DBE8E03E"/>
    <w:lvl w:ilvl="0" w:tplc="0809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6" w15:restartNumberingAfterBreak="0">
    <w:nsid w:val="592102E3"/>
    <w:multiLevelType w:val="hybridMultilevel"/>
    <w:tmpl w:val="CF349A98"/>
    <w:lvl w:ilvl="0" w:tplc="CE7AD6B8">
      <w:start w:val="1"/>
      <w:numFmt w:val="lowerRoman"/>
      <w:lvlText w:val="%1."/>
      <w:lvlJc w:val="right"/>
      <w:pPr>
        <w:ind w:left="720" w:hanging="360"/>
      </w:pPr>
      <w:rPr>
        <w:rFonts w:ascii="Times New Roman" w:hAnsi="Times New Roman" w:hint="default"/>
        <w:b w:val="0"/>
        <w:i w:val="0"/>
        <w:caps w:val="0"/>
        <w:strike w:val="0"/>
        <w:dstrike w:val="0"/>
        <w:vanish w:val="0"/>
        <w:color w:val="auto"/>
        <w:sz w:val="2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598E696E"/>
    <w:multiLevelType w:val="hybridMultilevel"/>
    <w:tmpl w:val="E0A228E6"/>
    <w:lvl w:ilvl="0" w:tplc="D7C8AC8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9B36C03"/>
    <w:multiLevelType w:val="hybridMultilevel"/>
    <w:tmpl w:val="1480BD96"/>
    <w:lvl w:ilvl="0" w:tplc="08160017">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59" w15:restartNumberingAfterBreak="0">
    <w:nsid w:val="5AE00CDA"/>
    <w:multiLevelType w:val="hybridMultilevel"/>
    <w:tmpl w:val="72D86A66"/>
    <w:lvl w:ilvl="0" w:tplc="FCD8704C">
      <w:start w:val="19"/>
      <w:numFmt w:val="bullet"/>
      <w:lvlText w:val="-"/>
      <w:lvlJc w:val="left"/>
      <w:pPr>
        <w:ind w:left="720" w:hanging="360"/>
      </w:pPr>
      <w:rPr>
        <w:rFonts w:ascii="Calibri" w:eastAsiaTheme="minorHAnsi" w:hAnsi="Calibri" w:cs="Calibri"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5C463F33"/>
    <w:multiLevelType w:val="hybridMultilevel"/>
    <w:tmpl w:val="A8821CF2"/>
    <w:lvl w:ilvl="0" w:tplc="DF3CC5FC">
      <w:start w:val="1"/>
      <w:numFmt w:val="decimal"/>
      <w:lvlText w:val="(%1)"/>
      <w:lvlJc w:val="left"/>
      <w:pPr>
        <w:tabs>
          <w:tab w:val="num" w:pos="1418"/>
        </w:tabs>
        <w:ind w:left="1418" w:hanging="360"/>
      </w:pPr>
      <w:rPr>
        <w:rFonts w:ascii="Verdana" w:hAnsi="Verdana" w:hint="default"/>
        <w:sz w:val="22"/>
        <w:szCs w:val="22"/>
      </w:rPr>
    </w:lvl>
    <w:lvl w:ilvl="1" w:tplc="CB90FDE2">
      <w:start w:val="1"/>
      <w:numFmt w:val="lowerLetter"/>
      <w:lvlText w:val="%2."/>
      <w:lvlJc w:val="left"/>
      <w:pPr>
        <w:tabs>
          <w:tab w:val="num" w:pos="1833"/>
        </w:tabs>
        <w:ind w:left="1833" w:hanging="360"/>
      </w:pPr>
      <w:rPr>
        <w:i w:val="0"/>
      </w:rPr>
    </w:lvl>
    <w:lvl w:ilvl="2" w:tplc="81E81FC4">
      <w:start w:val="1"/>
      <w:numFmt w:val="lowerRoman"/>
      <w:lvlText w:val="%3."/>
      <w:lvlJc w:val="right"/>
      <w:pPr>
        <w:tabs>
          <w:tab w:val="num" w:pos="3920"/>
        </w:tabs>
        <w:ind w:left="3920" w:hanging="180"/>
      </w:pPr>
      <w:rPr>
        <w:color w:val="auto"/>
      </w:rPr>
    </w:lvl>
    <w:lvl w:ilvl="3" w:tplc="52B6A67E">
      <w:start w:val="1"/>
      <w:numFmt w:val="lowerLetter"/>
      <w:lvlText w:val="%4)"/>
      <w:lvlJc w:val="left"/>
      <w:pPr>
        <w:tabs>
          <w:tab w:val="num" w:pos="4658"/>
        </w:tabs>
        <w:ind w:left="4658" w:hanging="360"/>
      </w:pPr>
      <w:rPr>
        <w:rFonts w:ascii="Times New Roman" w:hAnsi="Times New Roman" w:hint="default"/>
        <w:b w:val="0"/>
        <w:i w:val="0"/>
        <w:caps w:val="0"/>
        <w:strike w:val="0"/>
        <w:dstrike w:val="0"/>
        <w:vanish w:val="0"/>
        <w:color w:val="auto"/>
        <w:sz w:val="20"/>
        <w:szCs w:val="24"/>
        <w:vertAlign w:val="baseline"/>
      </w:rPr>
    </w:lvl>
    <w:lvl w:ilvl="4" w:tplc="08090019" w:tentative="1">
      <w:start w:val="1"/>
      <w:numFmt w:val="lowerLetter"/>
      <w:lvlText w:val="%5."/>
      <w:lvlJc w:val="left"/>
      <w:pPr>
        <w:tabs>
          <w:tab w:val="num" w:pos="5378"/>
        </w:tabs>
        <w:ind w:left="5378" w:hanging="360"/>
      </w:pPr>
    </w:lvl>
    <w:lvl w:ilvl="5" w:tplc="0809001B" w:tentative="1">
      <w:start w:val="1"/>
      <w:numFmt w:val="lowerRoman"/>
      <w:lvlText w:val="%6."/>
      <w:lvlJc w:val="right"/>
      <w:pPr>
        <w:tabs>
          <w:tab w:val="num" w:pos="6098"/>
        </w:tabs>
        <w:ind w:left="6098" w:hanging="180"/>
      </w:pPr>
    </w:lvl>
    <w:lvl w:ilvl="6" w:tplc="0809000F" w:tentative="1">
      <w:start w:val="1"/>
      <w:numFmt w:val="decimal"/>
      <w:lvlText w:val="%7."/>
      <w:lvlJc w:val="left"/>
      <w:pPr>
        <w:tabs>
          <w:tab w:val="num" w:pos="6818"/>
        </w:tabs>
        <w:ind w:left="6818" w:hanging="360"/>
      </w:pPr>
    </w:lvl>
    <w:lvl w:ilvl="7" w:tplc="08090019" w:tentative="1">
      <w:start w:val="1"/>
      <w:numFmt w:val="lowerLetter"/>
      <w:lvlText w:val="%8."/>
      <w:lvlJc w:val="left"/>
      <w:pPr>
        <w:tabs>
          <w:tab w:val="num" w:pos="7538"/>
        </w:tabs>
        <w:ind w:left="7538" w:hanging="360"/>
      </w:pPr>
    </w:lvl>
    <w:lvl w:ilvl="8" w:tplc="0809001B" w:tentative="1">
      <w:start w:val="1"/>
      <w:numFmt w:val="lowerRoman"/>
      <w:lvlText w:val="%9."/>
      <w:lvlJc w:val="right"/>
      <w:pPr>
        <w:tabs>
          <w:tab w:val="num" w:pos="8258"/>
        </w:tabs>
        <w:ind w:left="8258" w:hanging="180"/>
      </w:pPr>
    </w:lvl>
  </w:abstractNum>
  <w:abstractNum w:abstractNumId="61" w15:restartNumberingAfterBreak="0">
    <w:nsid w:val="5D4E4B3D"/>
    <w:multiLevelType w:val="hybridMultilevel"/>
    <w:tmpl w:val="3ABA50B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2" w15:restartNumberingAfterBreak="0">
    <w:nsid w:val="5D775D56"/>
    <w:multiLevelType w:val="hybridMultilevel"/>
    <w:tmpl w:val="F89E8C6C"/>
    <w:lvl w:ilvl="0" w:tplc="3DAC4D26">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5F93551F"/>
    <w:multiLevelType w:val="hybridMultilevel"/>
    <w:tmpl w:val="0F3CC406"/>
    <w:lvl w:ilvl="0" w:tplc="78D05CE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4" w15:restartNumberingAfterBreak="0">
    <w:nsid w:val="606A173A"/>
    <w:multiLevelType w:val="hybridMultilevel"/>
    <w:tmpl w:val="2502448A"/>
    <w:lvl w:ilvl="0" w:tplc="ED067CB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60CD5F2A"/>
    <w:multiLevelType w:val="hybridMultilevel"/>
    <w:tmpl w:val="38603E00"/>
    <w:lvl w:ilvl="0" w:tplc="6456A508">
      <w:start w:val="1"/>
      <w:numFmt w:val="lowerLetter"/>
      <w:lvlText w:val="%1)"/>
      <w:lvlJc w:val="left"/>
      <w:pPr>
        <w:ind w:left="720" w:hanging="360"/>
      </w:pPr>
      <w:rPr>
        <w:rFonts w:ascii="Times New Roman" w:hAnsi="Times New Roman" w:hint="default"/>
        <w:b w:val="0"/>
        <w:i w:val="0"/>
        <w:caps w:val="0"/>
        <w:strike w:val="0"/>
        <w:dstrike w:val="0"/>
        <w:vanish w:val="0"/>
        <w:color w:val="auto"/>
        <w:sz w:val="20"/>
        <w:szCs w:val="24"/>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62022EF4"/>
    <w:multiLevelType w:val="hybridMultilevel"/>
    <w:tmpl w:val="3E6E6EA0"/>
    <w:lvl w:ilvl="0" w:tplc="325409FC">
      <w:start w:val="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6233167D"/>
    <w:multiLevelType w:val="hybridMultilevel"/>
    <w:tmpl w:val="C9041D1E"/>
    <w:lvl w:ilvl="0" w:tplc="0DF0EA74">
      <w:start w:val="1"/>
      <w:numFmt w:val="lowerLetter"/>
      <w:lvlText w:val="%1)"/>
      <w:lvlJc w:val="left"/>
      <w:pPr>
        <w:ind w:left="720" w:hanging="360"/>
      </w:pPr>
      <w:rPr>
        <w:rFonts w:ascii="Arial" w:hAnsi="Arial" w:hint="default"/>
        <w:b w:val="0"/>
        <w:i w:val="0"/>
        <w:caps w:val="0"/>
        <w:strike w:val="0"/>
        <w:dstrike w:val="0"/>
        <w:vanish w:val="0"/>
        <w:color w:val="auto"/>
        <w:sz w:val="20"/>
        <w:szCs w:val="24"/>
        <w:vertAlign w:val="baseli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62593046"/>
    <w:multiLevelType w:val="hybridMultilevel"/>
    <w:tmpl w:val="61DA3DBE"/>
    <w:lvl w:ilvl="0" w:tplc="D0AE5DAE">
      <w:start w:val="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7142F11"/>
    <w:multiLevelType w:val="hybridMultilevel"/>
    <w:tmpl w:val="B4A6F596"/>
    <w:lvl w:ilvl="0" w:tplc="040C0011">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8B781D22">
      <w:start w:val="1"/>
      <w:numFmt w:val="bullet"/>
      <w:lvlText w:val=""/>
      <w:lvlJc w:val="left"/>
      <w:pPr>
        <w:ind w:left="2880" w:hanging="360"/>
      </w:pPr>
      <w:rPr>
        <w:rFonts w:ascii="Symbol" w:hAnsi="Symbol" w:hint="default"/>
      </w:r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0" w15:restartNumberingAfterBreak="0">
    <w:nsid w:val="681B20DB"/>
    <w:multiLevelType w:val="hybridMultilevel"/>
    <w:tmpl w:val="38569986"/>
    <w:lvl w:ilvl="0" w:tplc="8B781D22">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8B781D22">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684F65CE"/>
    <w:multiLevelType w:val="hybridMultilevel"/>
    <w:tmpl w:val="E3D87F42"/>
    <w:lvl w:ilvl="0" w:tplc="85661E26">
      <w:start w:val="1"/>
      <w:numFmt w:val="lowerRoman"/>
      <w:lvlText w:val="%1."/>
      <w:lvlJc w:val="right"/>
      <w:pPr>
        <w:ind w:left="720" w:hanging="360"/>
      </w:pPr>
      <w:rPr>
        <w:rFonts w:ascii="Times New Roman" w:hAnsi="Times New Roman" w:hint="default"/>
        <w:b w:val="0"/>
        <w:i w:val="0"/>
        <w:caps w:val="0"/>
        <w:strike w:val="0"/>
        <w:dstrike w:val="0"/>
        <w:vanish w:val="0"/>
        <w:color w:val="auto"/>
        <w:sz w:val="2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68D329E9"/>
    <w:multiLevelType w:val="multilevel"/>
    <w:tmpl w:val="CF3CDE3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none"/>
      <w:suff w:val="nothing"/>
      <w:lvlText w:val=""/>
      <w:lvlJc w:val="left"/>
      <w:pPr>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73" w15:restartNumberingAfterBreak="0">
    <w:nsid w:val="698272ED"/>
    <w:multiLevelType w:val="hybridMultilevel"/>
    <w:tmpl w:val="643A8360"/>
    <w:lvl w:ilvl="0" w:tplc="EA50AF1C">
      <w:start w:val="1"/>
      <w:numFmt w:val="decimal"/>
      <w:lvlText w:val="%1)"/>
      <w:lvlJc w:val="left"/>
      <w:pPr>
        <w:ind w:left="720" w:hanging="360"/>
      </w:pPr>
      <w:rPr>
        <w:rFonts w:hint="default"/>
        <w:u w:val="singl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4" w15:restartNumberingAfterBreak="0">
    <w:nsid w:val="69ED0991"/>
    <w:multiLevelType w:val="multilevel"/>
    <w:tmpl w:val="4BFEB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6C2A563C"/>
    <w:multiLevelType w:val="hybridMultilevel"/>
    <w:tmpl w:val="F5CC4C66"/>
    <w:lvl w:ilvl="0" w:tplc="8B781D2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6D2E45FA"/>
    <w:multiLevelType w:val="hybridMultilevel"/>
    <w:tmpl w:val="33F469A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7" w15:restartNumberingAfterBreak="0">
    <w:nsid w:val="6FB24EB6"/>
    <w:multiLevelType w:val="hybridMultilevel"/>
    <w:tmpl w:val="A21A4056"/>
    <w:lvl w:ilvl="0" w:tplc="BFB8708C">
      <w:start w:val="1"/>
      <w:numFmt w:val="lowerLetter"/>
      <w:lvlText w:val="%1)"/>
      <w:lvlJc w:val="left"/>
      <w:pPr>
        <w:ind w:left="720" w:hanging="360"/>
      </w:pPr>
      <w:rPr>
        <w:rFonts w:ascii="Verdana" w:hAnsi="Verdana" w:hint="default"/>
        <w:sz w:val="20"/>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708B4153"/>
    <w:multiLevelType w:val="hybridMultilevel"/>
    <w:tmpl w:val="755CCB26"/>
    <w:lvl w:ilvl="0" w:tplc="E9249C3E">
      <w:start w:val="19"/>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9" w15:restartNumberingAfterBreak="0">
    <w:nsid w:val="70C217FE"/>
    <w:multiLevelType w:val="hybridMultilevel"/>
    <w:tmpl w:val="2A068CBE"/>
    <w:lvl w:ilvl="0" w:tplc="8B781D22">
      <w:start w:val="1"/>
      <w:numFmt w:val="bullet"/>
      <w:lvlText w:val=""/>
      <w:lvlJc w:val="left"/>
      <w:pPr>
        <w:ind w:left="920" w:hanging="360"/>
      </w:pPr>
      <w:rPr>
        <w:rFonts w:ascii="Symbol" w:hAnsi="Symbol" w:hint="default"/>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80" w15:restartNumberingAfterBreak="0">
    <w:nsid w:val="71BD2970"/>
    <w:multiLevelType w:val="hybridMultilevel"/>
    <w:tmpl w:val="BEEE2888"/>
    <w:lvl w:ilvl="0" w:tplc="040C001B">
      <w:start w:val="1"/>
      <w:numFmt w:val="low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1" w15:restartNumberingAfterBreak="0">
    <w:nsid w:val="722720F2"/>
    <w:multiLevelType w:val="hybridMultilevel"/>
    <w:tmpl w:val="229885DE"/>
    <w:lvl w:ilvl="0" w:tplc="2F90FD52">
      <w:start w:val="1"/>
      <w:numFmt w:val="lowerLetter"/>
      <w:lvlText w:val="%1)"/>
      <w:lvlJc w:val="left"/>
      <w:pPr>
        <w:ind w:left="360" w:hanging="360"/>
      </w:pPr>
      <w:rPr>
        <w:rFonts w:ascii="Times New Roman" w:hAnsi="Times New Roman" w:hint="default"/>
        <w:b w:val="0"/>
        <w:i w:val="0"/>
        <w:caps w:val="0"/>
        <w:strike w:val="0"/>
        <w:dstrike w:val="0"/>
        <w:vanish w:val="0"/>
        <w:color w:val="auto"/>
        <w:sz w:val="20"/>
        <w:szCs w:val="24"/>
        <w:vertAlign w:val="baseline"/>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2" w15:restartNumberingAfterBreak="0">
    <w:nsid w:val="725442EF"/>
    <w:multiLevelType w:val="hybridMultilevel"/>
    <w:tmpl w:val="8FF2A786"/>
    <w:lvl w:ilvl="0" w:tplc="9F66AF8E">
      <w:numFmt w:val="bullet"/>
      <w:lvlText w:val="-"/>
      <w:lvlJc w:val="left"/>
      <w:pPr>
        <w:ind w:left="720" w:hanging="360"/>
      </w:pPr>
      <w:rPr>
        <w:rFonts w:ascii="Calibri" w:eastAsiaTheme="minorHAnsi" w:hAnsi="Calibri" w:cstheme="minorBid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3" w15:restartNumberingAfterBreak="0">
    <w:nsid w:val="74861C68"/>
    <w:multiLevelType w:val="hybridMultilevel"/>
    <w:tmpl w:val="3C645A54"/>
    <w:lvl w:ilvl="0" w:tplc="95FC6D58">
      <w:start w:val="19"/>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748F5CF8"/>
    <w:multiLevelType w:val="hybridMultilevel"/>
    <w:tmpl w:val="579EA548"/>
    <w:lvl w:ilvl="0" w:tplc="95E26768">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7642169B"/>
    <w:multiLevelType w:val="hybridMultilevel"/>
    <w:tmpl w:val="00F62978"/>
    <w:lvl w:ilvl="0" w:tplc="BFB8708C">
      <w:start w:val="1"/>
      <w:numFmt w:val="lowerLetter"/>
      <w:lvlText w:val="%1)"/>
      <w:lvlJc w:val="left"/>
      <w:pPr>
        <w:ind w:left="720" w:hanging="360"/>
      </w:pPr>
      <w:rPr>
        <w:rFonts w:ascii="Verdana" w:hAnsi="Verdana" w:hint="default"/>
        <w:sz w:val="20"/>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6" w15:restartNumberingAfterBreak="0">
    <w:nsid w:val="7AB07E15"/>
    <w:multiLevelType w:val="hybridMultilevel"/>
    <w:tmpl w:val="66ECE7FC"/>
    <w:lvl w:ilvl="0" w:tplc="8B781D22">
      <w:start w:val="1"/>
      <w:numFmt w:val="bullet"/>
      <w:lvlText w:val=""/>
      <w:lvlJc w:val="left"/>
      <w:pPr>
        <w:ind w:left="920" w:hanging="360"/>
      </w:pPr>
      <w:rPr>
        <w:rFonts w:ascii="Symbol" w:hAnsi="Symbol" w:hint="default"/>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87" w15:restartNumberingAfterBreak="0">
    <w:nsid w:val="7DED412C"/>
    <w:multiLevelType w:val="hybridMultilevel"/>
    <w:tmpl w:val="4600FC2E"/>
    <w:lvl w:ilvl="0" w:tplc="F0A466B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8" w15:restartNumberingAfterBreak="0">
    <w:nsid w:val="7E9A262F"/>
    <w:multiLevelType w:val="hybridMultilevel"/>
    <w:tmpl w:val="B6926F58"/>
    <w:lvl w:ilvl="0" w:tplc="DF3CC5FC">
      <w:start w:val="1"/>
      <w:numFmt w:val="decimal"/>
      <w:lvlText w:val="(%1)"/>
      <w:lvlJc w:val="left"/>
      <w:pPr>
        <w:tabs>
          <w:tab w:val="num" w:pos="1418"/>
        </w:tabs>
        <w:ind w:left="1418" w:hanging="360"/>
      </w:pPr>
      <w:rPr>
        <w:rFonts w:ascii="Verdana" w:hAnsi="Verdana" w:hint="default"/>
        <w:sz w:val="22"/>
        <w:szCs w:val="22"/>
      </w:rPr>
    </w:lvl>
    <w:lvl w:ilvl="1" w:tplc="CB90FDE2">
      <w:start w:val="1"/>
      <w:numFmt w:val="lowerLetter"/>
      <w:lvlText w:val="%2."/>
      <w:lvlJc w:val="left"/>
      <w:pPr>
        <w:tabs>
          <w:tab w:val="num" w:pos="1833"/>
        </w:tabs>
        <w:ind w:left="1833" w:hanging="360"/>
      </w:pPr>
      <w:rPr>
        <w:i w:val="0"/>
      </w:rPr>
    </w:lvl>
    <w:lvl w:ilvl="2" w:tplc="4000AF46">
      <w:start w:val="1"/>
      <w:numFmt w:val="lowerLetter"/>
      <w:lvlText w:val="%3)"/>
      <w:lvlJc w:val="left"/>
      <w:pPr>
        <w:tabs>
          <w:tab w:val="num" w:pos="3920"/>
        </w:tabs>
        <w:ind w:left="3920" w:hanging="180"/>
      </w:pPr>
      <w:rPr>
        <w:rFonts w:ascii="Times Roman" w:hAnsi="Times Roman" w:hint="default"/>
        <w:b w:val="0"/>
        <w:i w:val="0"/>
        <w:caps w:val="0"/>
        <w:strike w:val="0"/>
        <w:dstrike w:val="0"/>
        <w:vanish w:val="0"/>
        <w:color w:val="auto"/>
        <w:sz w:val="20"/>
        <w:szCs w:val="24"/>
        <w:vertAlign w:val="baseline"/>
      </w:rPr>
    </w:lvl>
    <w:lvl w:ilvl="3" w:tplc="6430101A">
      <w:start w:val="1"/>
      <w:numFmt w:val="decimal"/>
      <w:lvlText w:val="(%4)"/>
      <w:lvlJc w:val="left"/>
      <w:pPr>
        <w:tabs>
          <w:tab w:val="num" w:pos="4658"/>
        </w:tabs>
        <w:ind w:left="4658" w:hanging="360"/>
      </w:pPr>
      <w:rPr>
        <w:rFonts w:ascii="Times New Roman" w:hAnsi="Times New Roman" w:cs="Times New Roman" w:hint="default"/>
        <w:sz w:val="24"/>
        <w:szCs w:val="24"/>
      </w:rPr>
    </w:lvl>
    <w:lvl w:ilvl="4" w:tplc="08090019" w:tentative="1">
      <w:start w:val="1"/>
      <w:numFmt w:val="lowerLetter"/>
      <w:lvlText w:val="%5."/>
      <w:lvlJc w:val="left"/>
      <w:pPr>
        <w:tabs>
          <w:tab w:val="num" w:pos="5378"/>
        </w:tabs>
        <w:ind w:left="5378" w:hanging="360"/>
      </w:pPr>
    </w:lvl>
    <w:lvl w:ilvl="5" w:tplc="0809001B" w:tentative="1">
      <w:start w:val="1"/>
      <w:numFmt w:val="lowerRoman"/>
      <w:lvlText w:val="%6."/>
      <w:lvlJc w:val="right"/>
      <w:pPr>
        <w:tabs>
          <w:tab w:val="num" w:pos="6098"/>
        </w:tabs>
        <w:ind w:left="6098" w:hanging="180"/>
      </w:pPr>
    </w:lvl>
    <w:lvl w:ilvl="6" w:tplc="0809000F" w:tentative="1">
      <w:start w:val="1"/>
      <w:numFmt w:val="decimal"/>
      <w:lvlText w:val="%7."/>
      <w:lvlJc w:val="left"/>
      <w:pPr>
        <w:tabs>
          <w:tab w:val="num" w:pos="6818"/>
        </w:tabs>
        <w:ind w:left="6818" w:hanging="360"/>
      </w:pPr>
    </w:lvl>
    <w:lvl w:ilvl="7" w:tplc="08090019" w:tentative="1">
      <w:start w:val="1"/>
      <w:numFmt w:val="lowerLetter"/>
      <w:lvlText w:val="%8."/>
      <w:lvlJc w:val="left"/>
      <w:pPr>
        <w:tabs>
          <w:tab w:val="num" w:pos="7538"/>
        </w:tabs>
        <w:ind w:left="7538" w:hanging="360"/>
      </w:pPr>
    </w:lvl>
    <w:lvl w:ilvl="8" w:tplc="0809001B" w:tentative="1">
      <w:start w:val="1"/>
      <w:numFmt w:val="lowerRoman"/>
      <w:lvlText w:val="%9."/>
      <w:lvlJc w:val="right"/>
      <w:pPr>
        <w:tabs>
          <w:tab w:val="num" w:pos="8258"/>
        </w:tabs>
        <w:ind w:left="8258" w:hanging="180"/>
      </w:pPr>
    </w:lvl>
  </w:abstractNum>
  <w:num w:numId="1">
    <w:abstractNumId w:val="78"/>
  </w:num>
  <w:num w:numId="2">
    <w:abstractNumId w:val="87"/>
  </w:num>
  <w:num w:numId="3">
    <w:abstractNumId w:val="76"/>
  </w:num>
  <w:num w:numId="4">
    <w:abstractNumId w:val="2"/>
  </w:num>
  <w:num w:numId="5">
    <w:abstractNumId w:val="25"/>
  </w:num>
  <w:num w:numId="6">
    <w:abstractNumId w:val="53"/>
  </w:num>
  <w:num w:numId="7">
    <w:abstractNumId w:val="70"/>
  </w:num>
  <w:num w:numId="8">
    <w:abstractNumId w:val="40"/>
  </w:num>
  <w:num w:numId="9">
    <w:abstractNumId w:val="45"/>
  </w:num>
  <w:num w:numId="10">
    <w:abstractNumId w:val="15"/>
  </w:num>
  <w:num w:numId="11">
    <w:abstractNumId w:val="80"/>
  </w:num>
  <w:num w:numId="12">
    <w:abstractNumId w:val="51"/>
  </w:num>
  <w:num w:numId="13">
    <w:abstractNumId w:val="41"/>
  </w:num>
  <w:num w:numId="14">
    <w:abstractNumId w:val="43"/>
  </w:num>
  <w:num w:numId="15">
    <w:abstractNumId w:val="11"/>
  </w:num>
  <w:num w:numId="16">
    <w:abstractNumId w:val="0"/>
  </w:num>
  <w:num w:numId="17">
    <w:abstractNumId w:val="13"/>
  </w:num>
  <w:num w:numId="18">
    <w:abstractNumId w:val="26"/>
  </w:num>
  <w:num w:numId="19">
    <w:abstractNumId w:val="56"/>
  </w:num>
  <w:num w:numId="20">
    <w:abstractNumId w:val="84"/>
  </w:num>
  <w:num w:numId="21">
    <w:abstractNumId w:val="17"/>
  </w:num>
  <w:num w:numId="22">
    <w:abstractNumId w:val="37"/>
  </w:num>
  <w:num w:numId="23">
    <w:abstractNumId w:val="50"/>
  </w:num>
  <w:num w:numId="24">
    <w:abstractNumId w:val="62"/>
  </w:num>
  <w:num w:numId="25">
    <w:abstractNumId w:val="1"/>
  </w:num>
  <w:num w:numId="26">
    <w:abstractNumId w:val="12"/>
  </w:num>
  <w:num w:numId="27">
    <w:abstractNumId w:val="83"/>
  </w:num>
  <w:num w:numId="28">
    <w:abstractNumId w:val="10"/>
  </w:num>
  <w:num w:numId="29">
    <w:abstractNumId w:val="35"/>
  </w:num>
  <w:num w:numId="30">
    <w:abstractNumId w:val="58"/>
  </w:num>
  <w:num w:numId="31">
    <w:abstractNumId w:val="68"/>
  </w:num>
  <w:num w:numId="32">
    <w:abstractNumId w:val="75"/>
  </w:num>
  <w:num w:numId="33">
    <w:abstractNumId w:val="21"/>
  </w:num>
  <w:num w:numId="34">
    <w:abstractNumId w:val="64"/>
  </w:num>
  <w:num w:numId="35">
    <w:abstractNumId w:val="38"/>
  </w:num>
  <w:num w:numId="36">
    <w:abstractNumId w:val="71"/>
  </w:num>
  <w:num w:numId="37">
    <w:abstractNumId w:val="65"/>
  </w:num>
  <w:num w:numId="38">
    <w:abstractNumId w:val="33"/>
  </w:num>
  <w:num w:numId="39">
    <w:abstractNumId w:val="66"/>
  </w:num>
  <w:num w:numId="40">
    <w:abstractNumId w:val="22"/>
  </w:num>
  <w:num w:numId="41">
    <w:abstractNumId w:val="39"/>
  </w:num>
  <w:num w:numId="42">
    <w:abstractNumId w:val="60"/>
  </w:num>
  <w:num w:numId="43">
    <w:abstractNumId w:val="88"/>
  </w:num>
  <w:num w:numId="44">
    <w:abstractNumId w:val="23"/>
  </w:num>
  <w:num w:numId="45">
    <w:abstractNumId w:val="7"/>
  </w:num>
  <w:num w:numId="46">
    <w:abstractNumId w:val="24"/>
  </w:num>
  <w:num w:numId="47">
    <w:abstractNumId w:val="19"/>
  </w:num>
  <w:num w:numId="48">
    <w:abstractNumId w:val="36"/>
  </w:num>
  <w:num w:numId="49">
    <w:abstractNumId w:val="82"/>
  </w:num>
  <w:num w:numId="50">
    <w:abstractNumId w:val="55"/>
  </w:num>
  <w:num w:numId="51">
    <w:abstractNumId w:val="69"/>
  </w:num>
  <w:num w:numId="52">
    <w:abstractNumId w:val="3"/>
  </w:num>
  <w:num w:numId="53">
    <w:abstractNumId w:val="28"/>
  </w:num>
  <w:num w:numId="54">
    <w:abstractNumId w:val="79"/>
  </w:num>
  <w:num w:numId="55">
    <w:abstractNumId w:val="49"/>
  </w:num>
  <w:num w:numId="56">
    <w:abstractNumId w:val="18"/>
  </w:num>
  <w:num w:numId="57">
    <w:abstractNumId w:val="86"/>
  </w:num>
  <w:num w:numId="58">
    <w:abstractNumId w:val="34"/>
  </w:num>
  <w:num w:numId="59">
    <w:abstractNumId w:val="48"/>
  </w:num>
  <w:num w:numId="60">
    <w:abstractNumId w:val="46"/>
  </w:num>
  <w:num w:numId="61">
    <w:abstractNumId w:val="59"/>
  </w:num>
  <w:num w:numId="62">
    <w:abstractNumId w:val="27"/>
  </w:num>
  <w:num w:numId="63">
    <w:abstractNumId w:val="81"/>
  </w:num>
  <w:num w:numId="64">
    <w:abstractNumId w:val="14"/>
  </w:num>
  <w:num w:numId="65">
    <w:abstractNumId w:val="6"/>
  </w:num>
  <w:num w:numId="66">
    <w:abstractNumId w:val="29"/>
  </w:num>
  <w:num w:numId="67">
    <w:abstractNumId w:val="30"/>
  </w:num>
  <w:num w:numId="68">
    <w:abstractNumId w:val="32"/>
  </w:num>
  <w:num w:numId="69">
    <w:abstractNumId w:val="47"/>
  </w:num>
  <w:num w:numId="70">
    <w:abstractNumId w:val="52"/>
  </w:num>
  <w:num w:numId="71">
    <w:abstractNumId w:val="44"/>
  </w:num>
  <w:num w:numId="72">
    <w:abstractNumId w:val="72"/>
  </w:num>
  <w:num w:numId="73">
    <w:abstractNumId w:val="73"/>
  </w:num>
  <w:num w:numId="74">
    <w:abstractNumId w:val="31"/>
  </w:num>
  <w:num w:numId="75">
    <w:abstractNumId w:val="74"/>
  </w:num>
  <w:num w:numId="76">
    <w:abstractNumId w:val="4"/>
  </w:num>
  <w:num w:numId="77">
    <w:abstractNumId w:val="63"/>
  </w:num>
  <w:num w:numId="78">
    <w:abstractNumId w:val="20"/>
  </w:num>
  <w:num w:numId="79">
    <w:abstractNumId w:val="67"/>
  </w:num>
  <w:num w:numId="80">
    <w:abstractNumId w:val="54"/>
  </w:num>
  <w:num w:numId="81">
    <w:abstractNumId w:val="50"/>
    <w:lvlOverride w:ilvl="0">
      <w:lvl w:ilvl="0" w:tplc="3098A378">
        <w:start w:val="1"/>
        <w:numFmt w:val="lowerLetter"/>
        <w:lvlText w:val="%1."/>
        <w:lvlJc w:val="left"/>
        <w:pPr>
          <w:ind w:left="3600" w:hanging="360"/>
        </w:pPr>
        <w:rPr>
          <w:rFonts w:hint="default"/>
        </w:rPr>
      </w:lvl>
    </w:lvlOverride>
    <w:lvlOverride w:ilvl="1">
      <w:lvl w:ilvl="1" w:tplc="08090019" w:tentative="1">
        <w:start w:val="1"/>
        <w:numFmt w:val="lowerLetter"/>
        <w:lvlText w:val="%2."/>
        <w:lvlJc w:val="left"/>
        <w:pPr>
          <w:ind w:left="1440" w:hanging="360"/>
        </w:pPr>
      </w:lvl>
    </w:lvlOverride>
    <w:lvlOverride w:ilvl="2">
      <w:lvl w:ilvl="2" w:tplc="0809001B" w:tentative="1">
        <w:start w:val="1"/>
        <w:numFmt w:val="lowerRoman"/>
        <w:lvlText w:val="%3."/>
        <w:lvlJc w:val="right"/>
        <w:pPr>
          <w:ind w:left="2160" w:hanging="180"/>
        </w:pPr>
      </w:lvl>
    </w:lvlOverride>
    <w:lvlOverride w:ilvl="3">
      <w:lvl w:ilvl="3" w:tplc="0809000F" w:tentative="1">
        <w:start w:val="1"/>
        <w:numFmt w:val="decimal"/>
        <w:lvlText w:val="%4."/>
        <w:lvlJc w:val="left"/>
        <w:pPr>
          <w:ind w:left="2880" w:hanging="360"/>
        </w:pPr>
      </w:lvl>
    </w:lvlOverride>
    <w:lvlOverride w:ilvl="4">
      <w:lvl w:ilvl="4" w:tplc="08090019">
        <w:start w:val="1"/>
        <w:numFmt w:val="lowerLetter"/>
        <w:lvlText w:val="%5."/>
        <w:lvlJc w:val="left"/>
        <w:pPr>
          <w:ind w:left="3600" w:hanging="360"/>
        </w:pPr>
      </w:lvl>
    </w:lvlOverride>
    <w:lvlOverride w:ilvl="5">
      <w:lvl w:ilvl="5" w:tplc="0809001B" w:tentative="1">
        <w:start w:val="1"/>
        <w:numFmt w:val="lowerRoman"/>
        <w:lvlText w:val="%6."/>
        <w:lvlJc w:val="right"/>
        <w:pPr>
          <w:ind w:left="4320" w:hanging="180"/>
        </w:pPr>
      </w:lvl>
    </w:lvlOverride>
    <w:lvlOverride w:ilvl="6">
      <w:lvl w:ilvl="6" w:tplc="0809000F" w:tentative="1">
        <w:start w:val="1"/>
        <w:numFmt w:val="decimal"/>
        <w:lvlText w:val="%7."/>
        <w:lvlJc w:val="left"/>
        <w:pPr>
          <w:ind w:left="5040" w:hanging="360"/>
        </w:pPr>
      </w:lvl>
    </w:lvlOverride>
    <w:lvlOverride w:ilvl="7">
      <w:lvl w:ilvl="7" w:tplc="08090019" w:tentative="1">
        <w:start w:val="1"/>
        <w:numFmt w:val="lowerLetter"/>
        <w:lvlText w:val="%8."/>
        <w:lvlJc w:val="left"/>
        <w:pPr>
          <w:ind w:left="5760" w:hanging="360"/>
        </w:pPr>
      </w:lvl>
    </w:lvlOverride>
    <w:lvlOverride w:ilvl="8">
      <w:lvl w:ilvl="8" w:tplc="0809001B" w:tentative="1">
        <w:start w:val="1"/>
        <w:numFmt w:val="lowerRoman"/>
        <w:lvlText w:val="%9."/>
        <w:lvlJc w:val="right"/>
        <w:pPr>
          <w:ind w:left="6480" w:hanging="180"/>
        </w:pPr>
      </w:lvl>
    </w:lvlOverride>
  </w:num>
  <w:num w:numId="82">
    <w:abstractNumId w:val="42"/>
  </w:num>
  <w:num w:numId="83">
    <w:abstractNumId w:val="9"/>
  </w:num>
  <w:num w:numId="84">
    <w:abstractNumId w:val="61"/>
  </w:num>
  <w:num w:numId="85">
    <w:abstractNumId w:val="77"/>
  </w:num>
  <w:num w:numId="86">
    <w:abstractNumId w:val="5"/>
  </w:num>
  <w:num w:numId="87">
    <w:abstractNumId w:val="85"/>
  </w:num>
  <w:num w:numId="88">
    <w:abstractNumId w:val="16"/>
  </w:num>
  <w:num w:numId="8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57"/>
  </w:num>
  <w:num w:numId="91">
    <w:abstractNumId w:val="8"/>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3e4b8506-4058-4172-9559-54089205ff03"/>
    <w:docVar w:name="LW_DocType" w:val="NORMAL"/>
  </w:docVars>
  <w:rsids>
    <w:rsidRoot w:val="00F757BD"/>
    <w:rsid w:val="00001DB2"/>
    <w:rsid w:val="00012C2E"/>
    <w:rsid w:val="00013A62"/>
    <w:rsid w:val="0001444E"/>
    <w:rsid w:val="000169C3"/>
    <w:rsid w:val="00020248"/>
    <w:rsid w:val="000245E4"/>
    <w:rsid w:val="00026D43"/>
    <w:rsid w:val="000272CD"/>
    <w:rsid w:val="0002757D"/>
    <w:rsid w:val="00030273"/>
    <w:rsid w:val="000317F2"/>
    <w:rsid w:val="00031D3F"/>
    <w:rsid w:val="0003278E"/>
    <w:rsid w:val="00034F08"/>
    <w:rsid w:val="00040A82"/>
    <w:rsid w:val="00041082"/>
    <w:rsid w:val="00041369"/>
    <w:rsid w:val="000428F8"/>
    <w:rsid w:val="00046275"/>
    <w:rsid w:val="0004730F"/>
    <w:rsid w:val="00053C36"/>
    <w:rsid w:val="000540F7"/>
    <w:rsid w:val="00054786"/>
    <w:rsid w:val="00055180"/>
    <w:rsid w:val="000565FD"/>
    <w:rsid w:val="0005792B"/>
    <w:rsid w:val="00060D61"/>
    <w:rsid w:val="00062648"/>
    <w:rsid w:val="00065FD9"/>
    <w:rsid w:val="0007164C"/>
    <w:rsid w:val="00072EF1"/>
    <w:rsid w:val="0007466D"/>
    <w:rsid w:val="0007583C"/>
    <w:rsid w:val="00076EC3"/>
    <w:rsid w:val="00076F0D"/>
    <w:rsid w:val="000860A1"/>
    <w:rsid w:val="000876CC"/>
    <w:rsid w:val="000878DC"/>
    <w:rsid w:val="00090E36"/>
    <w:rsid w:val="000914FC"/>
    <w:rsid w:val="00091E35"/>
    <w:rsid w:val="0009279A"/>
    <w:rsid w:val="0009470E"/>
    <w:rsid w:val="00094C25"/>
    <w:rsid w:val="000954D6"/>
    <w:rsid w:val="0009711C"/>
    <w:rsid w:val="00097845"/>
    <w:rsid w:val="00097EA8"/>
    <w:rsid w:val="000A01C1"/>
    <w:rsid w:val="000A34FA"/>
    <w:rsid w:val="000A42DE"/>
    <w:rsid w:val="000A4702"/>
    <w:rsid w:val="000A70C6"/>
    <w:rsid w:val="000B384C"/>
    <w:rsid w:val="000B5F6C"/>
    <w:rsid w:val="000C2906"/>
    <w:rsid w:val="000D3A74"/>
    <w:rsid w:val="000D3B1B"/>
    <w:rsid w:val="000D79A8"/>
    <w:rsid w:val="000E1504"/>
    <w:rsid w:val="000E190D"/>
    <w:rsid w:val="000E3485"/>
    <w:rsid w:val="000E3622"/>
    <w:rsid w:val="000E428B"/>
    <w:rsid w:val="000E668B"/>
    <w:rsid w:val="000E77F2"/>
    <w:rsid w:val="000F157C"/>
    <w:rsid w:val="000F40E3"/>
    <w:rsid w:val="000F4BEF"/>
    <w:rsid w:val="000F7991"/>
    <w:rsid w:val="00100D47"/>
    <w:rsid w:val="00102176"/>
    <w:rsid w:val="00103CAF"/>
    <w:rsid w:val="00104491"/>
    <w:rsid w:val="0010517B"/>
    <w:rsid w:val="00105CB7"/>
    <w:rsid w:val="00105E49"/>
    <w:rsid w:val="00106CF4"/>
    <w:rsid w:val="00107A5C"/>
    <w:rsid w:val="00110304"/>
    <w:rsid w:val="00112FAB"/>
    <w:rsid w:val="0011463B"/>
    <w:rsid w:val="00117899"/>
    <w:rsid w:val="00117A86"/>
    <w:rsid w:val="00120217"/>
    <w:rsid w:val="00121062"/>
    <w:rsid w:val="001212E8"/>
    <w:rsid w:val="00122671"/>
    <w:rsid w:val="00122C75"/>
    <w:rsid w:val="0012385E"/>
    <w:rsid w:val="00123B2D"/>
    <w:rsid w:val="0012583A"/>
    <w:rsid w:val="00125D81"/>
    <w:rsid w:val="00126636"/>
    <w:rsid w:val="00126AE0"/>
    <w:rsid w:val="00127386"/>
    <w:rsid w:val="00127CBE"/>
    <w:rsid w:val="00132524"/>
    <w:rsid w:val="00132907"/>
    <w:rsid w:val="00136788"/>
    <w:rsid w:val="00137383"/>
    <w:rsid w:val="001424EF"/>
    <w:rsid w:val="0014486A"/>
    <w:rsid w:val="0014783C"/>
    <w:rsid w:val="00147880"/>
    <w:rsid w:val="0015061E"/>
    <w:rsid w:val="00153809"/>
    <w:rsid w:val="00153A0F"/>
    <w:rsid w:val="0015475C"/>
    <w:rsid w:val="00155009"/>
    <w:rsid w:val="00155F37"/>
    <w:rsid w:val="001561FB"/>
    <w:rsid w:val="00157037"/>
    <w:rsid w:val="00160294"/>
    <w:rsid w:val="001604D5"/>
    <w:rsid w:val="00161965"/>
    <w:rsid w:val="0016293B"/>
    <w:rsid w:val="00165494"/>
    <w:rsid w:val="00165C0F"/>
    <w:rsid w:val="001741C3"/>
    <w:rsid w:val="00175DAD"/>
    <w:rsid w:val="00176A54"/>
    <w:rsid w:val="00177DC9"/>
    <w:rsid w:val="00184361"/>
    <w:rsid w:val="00184621"/>
    <w:rsid w:val="00185E8C"/>
    <w:rsid w:val="00186511"/>
    <w:rsid w:val="001868BE"/>
    <w:rsid w:val="001927E2"/>
    <w:rsid w:val="0019305E"/>
    <w:rsid w:val="00194502"/>
    <w:rsid w:val="001952F0"/>
    <w:rsid w:val="001A28BD"/>
    <w:rsid w:val="001A387B"/>
    <w:rsid w:val="001A3DC6"/>
    <w:rsid w:val="001A4EE3"/>
    <w:rsid w:val="001A690B"/>
    <w:rsid w:val="001B30C5"/>
    <w:rsid w:val="001B636A"/>
    <w:rsid w:val="001C59BE"/>
    <w:rsid w:val="001C723E"/>
    <w:rsid w:val="001D115F"/>
    <w:rsid w:val="001D1CFA"/>
    <w:rsid w:val="001D3ABE"/>
    <w:rsid w:val="001D55D5"/>
    <w:rsid w:val="001D7212"/>
    <w:rsid w:val="001E0A03"/>
    <w:rsid w:val="001E0D7E"/>
    <w:rsid w:val="001E14C8"/>
    <w:rsid w:val="001E185C"/>
    <w:rsid w:val="001E1A84"/>
    <w:rsid w:val="001E6EA1"/>
    <w:rsid w:val="001F1F89"/>
    <w:rsid w:val="001F3AFD"/>
    <w:rsid w:val="001F562A"/>
    <w:rsid w:val="001F57A9"/>
    <w:rsid w:val="001F5A8E"/>
    <w:rsid w:val="001F5DED"/>
    <w:rsid w:val="001F6B05"/>
    <w:rsid w:val="001F744B"/>
    <w:rsid w:val="001F7C6E"/>
    <w:rsid w:val="002009F2"/>
    <w:rsid w:val="00201EE2"/>
    <w:rsid w:val="00202979"/>
    <w:rsid w:val="002034A5"/>
    <w:rsid w:val="00203AF7"/>
    <w:rsid w:val="00204073"/>
    <w:rsid w:val="002051D2"/>
    <w:rsid w:val="00205574"/>
    <w:rsid w:val="00206ED3"/>
    <w:rsid w:val="00210422"/>
    <w:rsid w:val="00213435"/>
    <w:rsid w:val="00215231"/>
    <w:rsid w:val="002173F5"/>
    <w:rsid w:val="00220B23"/>
    <w:rsid w:val="0022157A"/>
    <w:rsid w:val="00224949"/>
    <w:rsid w:val="00230A4C"/>
    <w:rsid w:val="00230DB2"/>
    <w:rsid w:val="0023147D"/>
    <w:rsid w:val="0023454D"/>
    <w:rsid w:val="00236617"/>
    <w:rsid w:val="0024005B"/>
    <w:rsid w:val="00240082"/>
    <w:rsid w:val="002460BD"/>
    <w:rsid w:val="002464E9"/>
    <w:rsid w:val="002467D1"/>
    <w:rsid w:val="00250DF2"/>
    <w:rsid w:val="00253F87"/>
    <w:rsid w:val="00254DC9"/>
    <w:rsid w:val="00256DCB"/>
    <w:rsid w:val="00257666"/>
    <w:rsid w:val="00262FAF"/>
    <w:rsid w:val="00265407"/>
    <w:rsid w:val="002669E7"/>
    <w:rsid w:val="0027223D"/>
    <w:rsid w:val="002734FA"/>
    <w:rsid w:val="0027489B"/>
    <w:rsid w:val="00274CD8"/>
    <w:rsid w:val="00276DEA"/>
    <w:rsid w:val="00276E7C"/>
    <w:rsid w:val="0027740A"/>
    <w:rsid w:val="00281DD5"/>
    <w:rsid w:val="00282F5A"/>
    <w:rsid w:val="00283091"/>
    <w:rsid w:val="0028323D"/>
    <w:rsid w:val="002851DB"/>
    <w:rsid w:val="00285E2F"/>
    <w:rsid w:val="00290913"/>
    <w:rsid w:val="00290F63"/>
    <w:rsid w:val="00295491"/>
    <w:rsid w:val="002958DC"/>
    <w:rsid w:val="00297C99"/>
    <w:rsid w:val="002A3D11"/>
    <w:rsid w:val="002A773C"/>
    <w:rsid w:val="002B0DC6"/>
    <w:rsid w:val="002B16B1"/>
    <w:rsid w:val="002B3132"/>
    <w:rsid w:val="002B3D2B"/>
    <w:rsid w:val="002B6039"/>
    <w:rsid w:val="002B74F4"/>
    <w:rsid w:val="002B7FB1"/>
    <w:rsid w:val="002B7FFB"/>
    <w:rsid w:val="002C08BC"/>
    <w:rsid w:val="002C2909"/>
    <w:rsid w:val="002C2A50"/>
    <w:rsid w:val="002C3069"/>
    <w:rsid w:val="002C3B28"/>
    <w:rsid w:val="002C4FB2"/>
    <w:rsid w:val="002C536D"/>
    <w:rsid w:val="002C5A54"/>
    <w:rsid w:val="002D0006"/>
    <w:rsid w:val="002D368B"/>
    <w:rsid w:val="002D4CD4"/>
    <w:rsid w:val="002D660F"/>
    <w:rsid w:val="002D7D62"/>
    <w:rsid w:val="002E1F99"/>
    <w:rsid w:val="002E2FA3"/>
    <w:rsid w:val="002E553D"/>
    <w:rsid w:val="002E7251"/>
    <w:rsid w:val="002E7DE5"/>
    <w:rsid w:val="002F0628"/>
    <w:rsid w:val="002F142D"/>
    <w:rsid w:val="002F1C70"/>
    <w:rsid w:val="002F256A"/>
    <w:rsid w:val="002F63D2"/>
    <w:rsid w:val="002F6B45"/>
    <w:rsid w:val="002F73C1"/>
    <w:rsid w:val="0030303B"/>
    <w:rsid w:val="0030378F"/>
    <w:rsid w:val="00305212"/>
    <w:rsid w:val="003054D1"/>
    <w:rsid w:val="00305980"/>
    <w:rsid w:val="00306050"/>
    <w:rsid w:val="0030673F"/>
    <w:rsid w:val="003111A4"/>
    <w:rsid w:val="00311915"/>
    <w:rsid w:val="00312944"/>
    <w:rsid w:val="00312E28"/>
    <w:rsid w:val="003227BE"/>
    <w:rsid w:val="00323045"/>
    <w:rsid w:val="00324385"/>
    <w:rsid w:val="00326DF9"/>
    <w:rsid w:val="00333F67"/>
    <w:rsid w:val="003379B5"/>
    <w:rsid w:val="00337AEF"/>
    <w:rsid w:val="00341AFE"/>
    <w:rsid w:val="003460FA"/>
    <w:rsid w:val="0035281C"/>
    <w:rsid w:val="0035342D"/>
    <w:rsid w:val="003542D8"/>
    <w:rsid w:val="00356676"/>
    <w:rsid w:val="00356687"/>
    <w:rsid w:val="00357684"/>
    <w:rsid w:val="00357CEA"/>
    <w:rsid w:val="00360A56"/>
    <w:rsid w:val="00362578"/>
    <w:rsid w:val="003657A9"/>
    <w:rsid w:val="0036619B"/>
    <w:rsid w:val="00367A2D"/>
    <w:rsid w:val="00370001"/>
    <w:rsid w:val="003711B9"/>
    <w:rsid w:val="00371F8E"/>
    <w:rsid w:val="00372452"/>
    <w:rsid w:val="00372690"/>
    <w:rsid w:val="0037353D"/>
    <w:rsid w:val="003749B0"/>
    <w:rsid w:val="00375CBC"/>
    <w:rsid w:val="0037646D"/>
    <w:rsid w:val="00380300"/>
    <w:rsid w:val="00386257"/>
    <w:rsid w:val="00390CBD"/>
    <w:rsid w:val="0039364A"/>
    <w:rsid w:val="003939A6"/>
    <w:rsid w:val="00393BBA"/>
    <w:rsid w:val="003940CD"/>
    <w:rsid w:val="00394D25"/>
    <w:rsid w:val="0039511C"/>
    <w:rsid w:val="00397B27"/>
    <w:rsid w:val="003A5316"/>
    <w:rsid w:val="003A5A6B"/>
    <w:rsid w:val="003A60CE"/>
    <w:rsid w:val="003A6DCE"/>
    <w:rsid w:val="003B0290"/>
    <w:rsid w:val="003B1B20"/>
    <w:rsid w:val="003B3735"/>
    <w:rsid w:val="003B42F4"/>
    <w:rsid w:val="003B54BB"/>
    <w:rsid w:val="003B670C"/>
    <w:rsid w:val="003B7E43"/>
    <w:rsid w:val="003C09E5"/>
    <w:rsid w:val="003C2163"/>
    <w:rsid w:val="003C3BE0"/>
    <w:rsid w:val="003C47D9"/>
    <w:rsid w:val="003C6185"/>
    <w:rsid w:val="003C65DB"/>
    <w:rsid w:val="003C71ED"/>
    <w:rsid w:val="003C7A7F"/>
    <w:rsid w:val="003D0AD7"/>
    <w:rsid w:val="003D115F"/>
    <w:rsid w:val="003D1EF2"/>
    <w:rsid w:val="003D2CFF"/>
    <w:rsid w:val="003D30E8"/>
    <w:rsid w:val="003D4733"/>
    <w:rsid w:val="003D4D46"/>
    <w:rsid w:val="003D70C2"/>
    <w:rsid w:val="003E2030"/>
    <w:rsid w:val="003E6AEE"/>
    <w:rsid w:val="003E6DC4"/>
    <w:rsid w:val="003E7B51"/>
    <w:rsid w:val="003F71EA"/>
    <w:rsid w:val="003F720C"/>
    <w:rsid w:val="00405140"/>
    <w:rsid w:val="00410B08"/>
    <w:rsid w:val="004124FC"/>
    <w:rsid w:val="00415EAB"/>
    <w:rsid w:val="00415FCD"/>
    <w:rsid w:val="004174AF"/>
    <w:rsid w:val="00421A24"/>
    <w:rsid w:val="00421AC6"/>
    <w:rsid w:val="00421B77"/>
    <w:rsid w:val="00421C26"/>
    <w:rsid w:val="00421E1C"/>
    <w:rsid w:val="004225F8"/>
    <w:rsid w:val="004226E7"/>
    <w:rsid w:val="004238CF"/>
    <w:rsid w:val="004315E0"/>
    <w:rsid w:val="004329C9"/>
    <w:rsid w:val="004332F4"/>
    <w:rsid w:val="004335E0"/>
    <w:rsid w:val="00442964"/>
    <w:rsid w:val="00442FAB"/>
    <w:rsid w:val="00443628"/>
    <w:rsid w:val="004439C5"/>
    <w:rsid w:val="004439EA"/>
    <w:rsid w:val="00443FB5"/>
    <w:rsid w:val="00445529"/>
    <w:rsid w:val="00445C03"/>
    <w:rsid w:val="0044608C"/>
    <w:rsid w:val="004463B8"/>
    <w:rsid w:val="00450D7F"/>
    <w:rsid w:val="00452E6B"/>
    <w:rsid w:val="00454DC3"/>
    <w:rsid w:val="004550F8"/>
    <w:rsid w:val="00463BE9"/>
    <w:rsid w:val="0046400D"/>
    <w:rsid w:val="004644B1"/>
    <w:rsid w:val="00465636"/>
    <w:rsid w:val="004669B9"/>
    <w:rsid w:val="004676BC"/>
    <w:rsid w:val="0047006D"/>
    <w:rsid w:val="00472A00"/>
    <w:rsid w:val="00473618"/>
    <w:rsid w:val="00475FBE"/>
    <w:rsid w:val="00482016"/>
    <w:rsid w:val="00482DEF"/>
    <w:rsid w:val="004830A6"/>
    <w:rsid w:val="00485F5A"/>
    <w:rsid w:val="0049106E"/>
    <w:rsid w:val="00492492"/>
    <w:rsid w:val="00493775"/>
    <w:rsid w:val="00494EBC"/>
    <w:rsid w:val="004A04EF"/>
    <w:rsid w:val="004A3B2B"/>
    <w:rsid w:val="004A44E3"/>
    <w:rsid w:val="004A504F"/>
    <w:rsid w:val="004A52C8"/>
    <w:rsid w:val="004A766F"/>
    <w:rsid w:val="004B1B4A"/>
    <w:rsid w:val="004B1E4A"/>
    <w:rsid w:val="004B3948"/>
    <w:rsid w:val="004B567D"/>
    <w:rsid w:val="004B5806"/>
    <w:rsid w:val="004B7A3E"/>
    <w:rsid w:val="004C1997"/>
    <w:rsid w:val="004C1F02"/>
    <w:rsid w:val="004C2BE1"/>
    <w:rsid w:val="004C3A40"/>
    <w:rsid w:val="004C3B3D"/>
    <w:rsid w:val="004C5B63"/>
    <w:rsid w:val="004C65AC"/>
    <w:rsid w:val="004C66A5"/>
    <w:rsid w:val="004C7CCE"/>
    <w:rsid w:val="004D68E2"/>
    <w:rsid w:val="004E31AA"/>
    <w:rsid w:val="004E38AA"/>
    <w:rsid w:val="004E5CCB"/>
    <w:rsid w:val="004E608F"/>
    <w:rsid w:val="004E7D1B"/>
    <w:rsid w:val="004F0CCA"/>
    <w:rsid w:val="004F25A7"/>
    <w:rsid w:val="004F3478"/>
    <w:rsid w:val="004F428C"/>
    <w:rsid w:val="004F5581"/>
    <w:rsid w:val="004F6537"/>
    <w:rsid w:val="005004D7"/>
    <w:rsid w:val="005007BB"/>
    <w:rsid w:val="00500E81"/>
    <w:rsid w:val="00501140"/>
    <w:rsid w:val="005016B4"/>
    <w:rsid w:val="00502DB4"/>
    <w:rsid w:val="00502DE9"/>
    <w:rsid w:val="00507600"/>
    <w:rsid w:val="005079BE"/>
    <w:rsid w:val="00507D76"/>
    <w:rsid w:val="00511084"/>
    <w:rsid w:val="005136FE"/>
    <w:rsid w:val="005145F4"/>
    <w:rsid w:val="00515370"/>
    <w:rsid w:val="005159A7"/>
    <w:rsid w:val="00516F8F"/>
    <w:rsid w:val="005223AC"/>
    <w:rsid w:val="00522862"/>
    <w:rsid w:val="0052318F"/>
    <w:rsid w:val="0052326F"/>
    <w:rsid w:val="00523514"/>
    <w:rsid w:val="00525F77"/>
    <w:rsid w:val="005260C7"/>
    <w:rsid w:val="00527DC9"/>
    <w:rsid w:val="005323A1"/>
    <w:rsid w:val="00533F22"/>
    <w:rsid w:val="00534B37"/>
    <w:rsid w:val="0053687D"/>
    <w:rsid w:val="00537123"/>
    <w:rsid w:val="005412A6"/>
    <w:rsid w:val="00542AE2"/>
    <w:rsid w:val="0054615F"/>
    <w:rsid w:val="00554444"/>
    <w:rsid w:val="00554E67"/>
    <w:rsid w:val="00555044"/>
    <w:rsid w:val="005559E6"/>
    <w:rsid w:val="005576F3"/>
    <w:rsid w:val="00560A7F"/>
    <w:rsid w:val="00562FB3"/>
    <w:rsid w:val="00571CE8"/>
    <w:rsid w:val="00571DB5"/>
    <w:rsid w:val="00573C86"/>
    <w:rsid w:val="00581F6B"/>
    <w:rsid w:val="00582920"/>
    <w:rsid w:val="00583156"/>
    <w:rsid w:val="005838AC"/>
    <w:rsid w:val="00584A53"/>
    <w:rsid w:val="00584CD0"/>
    <w:rsid w:val="00591FBB"/>
    <w:rsid w:val="00592FA5"/>
    <w:rsid w:val="00595632"/>
    <w:rsid w:val="005973DC"/>
    <w:rsid w:val="005A19E6"/>
    <w:rsid w:val="005A2E20"/>
    <w:rsid w:val="005A32BD"/>
    <w:rsid w:val="005A3341"/>
    <w:rsid w:val="005A39EC"/>
    <w:rsid w:val="005A3EFD"/>
    <w:rsid w:val="005A4847"/>
    <w:rsid w:val="005A4E42"/>
    <w:rsid w:val="005A5133"/>
    <w:rsid w:val="005A5C69"/>
    <w:rsid w:val="005A5DC4"/>
    <w:rsid w:val="005B37CE"/>
    <w:rsid w:val="005B42C9"/>
    <w:rsid w:val="005C190D"/>
    <w:rsid w:val="005C2A4D"/>
    <w:rsid w:val="005C7543"/>
    <w:rsid w:val="005D142D"/>
    <w:rsid w:val="005D236F"/>
    <w:rsid w:val="005D245C"/>
    <w:rsid w:val="005D291F"/>
    <w:rsid w:val="005D2EEB"/>
    <w:rsid w:val="005D495C"/>
    <w:rsid w:val="005D6900"/>
    <w:rsid w:val="005E08EC"/>
    <w:rsid w:val="005E1BD9"/>
    <w:rsid w:val="005E3295"/>
    <w:rsid w:val="005E3555"/>
    <w:rsid w:val="005E3FEA"/>
    <w:rsid w:val="005E4265"/>
    <w:rsid w:val="005E4DDB"/>
    <w:rsid w:val="005E73EB"/>
    <w:rsid w:val="005E781C"/>
    <w:rsid w:val="005F00B8"/>
    <w:rsid w:val="005F0CC6"/>
    <w:rsid w:val="005F1058"/>
    <w:rsid w:val="005F397F"/>
    <w:rsid w:val="005F3B02"/>
    <w:rsid w:val="005F48F5"/>
    <w:rsid w:val="005F6145"/>
    <w:rsid w:val="005F6362"/>
    <w:rsid w:val="006023C1"/>
    <w:rsid w:val="006037F4"/>
    <w:rsid w:val="00606C01"/>
    <w:rsid w:val="00606DC5"/>
    <w:rsid w:val="00607B52"/>
    <w:rsid w:val="006104FE"/>
    <w:rsid w:val="00610FCD"/>
    <w:rsid w:val="00611C81"/>
    <w:rsid w:val="0061361A"/>
    <w:rsid w:val="00614756"/>
    <w:rsid w:val="00620338"/>
    <w:rsid w:val="00620E81"/>
    <w:rsid w:val="00621C84"/>
    <w:rsid w:val="00623373"/>
    <w:rsid w:val="00623B30"/>
    <w:rsid w:val="0062652A"/>
    <w:rsid w:val="00626553"/>
    <w:rsid w:val="00631CCB"/>
    <w:rsid w:val="006325B8"/>
    <w:rsid w:val="00632A0B"/>
    <w:rsid w:val="006335C2"/>
    <w:rsid w:val="00634D0F"/>
    <w:rsid w:val="0063777B"/>
    <w:rsid w:val="006378FB"/>
    <w:rsid w:val="00642CB7"/>
    <w:rsid w:val="00642D7B"/>
    <w:rsid w:val="00646317"/>
    <w:rsid w:val="00650580"/>
    <w:rsid w:val="006505FE"/>
    <w:rsid w:val="00651461"/>
    <w:rsid w:val="00655E97"/>
    <w:rsid w:val="0065604E"/>
    <w:rsid w:val="006612D8"/>
    <w:rsid w:val="006638DE"/>
    <w:rsid w:val="00667C23"/>
    <w:rsid w:val="006721A0"/>
    <w:rsid w:val="00673B35"/>
    <w:rsid w:val="00673B60"/>
    <w:rsid w:val="00673D71"/>
    <w:rsid w:val="006746F7"/>
    <w:rsid w:val="006769D1"/>
    <w:rsid w:val="0067782F"/>
    <w:rsid w:val="00677AE7"/>
    <w:rsid w:val="00680272"/>
    <w:rsid w:val="006833F5"/>
    <w:rsid w:val="00685EC5"/>
    <w:rsid w:val="0068769C"/>
    <w:rsid w:val="00693249"/>
    <w:rsid w:val="0069394E"/>
    <w:rsid w:val="0069407F"/>
    <w:rsid w:val="00696557"/>
    <w:rsid w:val="006A1567"/>
    <w:rsid w:val="006A1BE5"/>
    <w:rsid w:val="006A3514"/>
    <w:rsid w:val="006A57A6"/>
    <w:rsid w:val="006A6341"/>
    <w:rsid w:val="006B178C"/>
    <w:rsid w:val="006B1C48"/>
    <w:rsid w:val="006B2756"/>
    <w:rsid w:val="006B37B9"/>
    <w:rsid w:val="006B494C"/>
    <w:rsid w:val="006B7174"/>
    <w:rsid w:val="006C0410"/>
    <w:rsid w:val="006C15CE"/>
    <w:rsid w:val="006C31F3"/>
    <w:rsid w:val="006C37B7"/>
    <w:rsid w:val="006C652B"/>
    <w:rsid w:val="006D0E3D"/>
    <w:rsid w:val="006D2794"/>
    <w:rsid w:val="006D27F0"/>
    <w:rsid w:val="006D4679"/>
    <w:rsid w:val="006D7EB9"/>
    <w:rsid w:val="006E3AD9"/>
    <w:rsid w:val="006E6CF8"/>
    <w:rsid w:val="006F3199"/>
    <w:rsid w:val="006F575A"/>
    <w:rsid w:val="007038D5"/>
    <w:rsid w:val="0070438D"/>
    <w:rsid w:val="00704AD5"/>
    <w:rsid w:val="00706394"/>
    <w:rsid w:val="0070758A"/>
    <w:rsid w:val="00707E14"/>
    <w:rsid w:val="00710083"/>
    <w:rsid w:val="007103E6"/>
    <w:rsid w:val="00710442"/>
    <w:rsid w:val="00711956"/>
    <w:rsid w:val="0071221A"/>
    <w:rsid w:val="0071312D"/>
    <w:rsid w:val="00713E57"/>
    <w:rsid w:val="007140FC"/>
    <w:rsid w:val="007150ED"/>
    <w:rsid w:val="0071523F"/>
    <w:rsid w:val="0071529A"/>
    <w:rsid w:val="007153D8"/>
    <w:rsid w:val="00717B62"/>
    <w:rsid w:val="00720404"/>
    <w:rsid w:val="00720DA5"/>
    <w:rsid w:val="00720DAC"/>
    <w:rsid w:val="00722C63"/>
    <w:rsid w:val="00723B23"/>
    <w:rsid w:val="00724701"/>
    <w:rsid w:val="007256B0"/>
    <w:rsid w:val="0073016E"/>
    <w:rsid w:val="007304BE"/>
    <w:rsid w:val="00730546"/>
    <w:rsid w:val="007348D0"/>
    <w:rsid w:val="00737DE7"/>
    <w:rsid w:val="00740A59"/>
    <w:rsid w:val="007419E2"/>
    <w:rsid w:val="00741A17"/>
    <w:rsid w:val="00743C0B"/>
    <w:rsid w:val="007449AF"/>
    <w:rsid w:val="00745498"/>
    <w:rsid w:val="00747928"/>
    <w:rsid w:val="007500C5"/>
    <w:rsid w:val="007501B6"/>
    <w:rsid w:val="00751BA1"/>
    <w:rsid w:val="00755B58"/>
    <w:rsid w:val="0076240A"/>
    <w:rsid w:val="007646CE"/>
    <w:rsid w:val="00773879"/>
    <w:rsid w:val="007741B5"/>
    <w:rsid w:val="00777917"/>
    <w:rsid w:val="00780637"/>
    <w:rsid w:val="007813B3"/>
    <w:rsid w:val="0078157A"/>
    <w:rsid w:val="007853BA"/>
    <w:rsid w:val="00785BB3"/>
    <w:rsid w:val="0078608C"/>
    <w:rsid w:val="00786A28"/>
    <w:rsid w:val="00786BD6"/>
    <w:rsid w:val="007914AB"/>
    <w:rsid w:val="00791995"/>
    <w:rsid w:val="007924DB"/>
    <w:rsid w:val="007927C7"/>
    <w:rsid w:val="00796612"/>
    <w:rsid w:val="007A26C8"/>
    <w:rsid w:val="007A3EFE"/>
    <w:rsid w:val="007B064E"/>
    <w:rsid w:val="007B4299"/>
    <w:rsid w:val="007B5229"/>
    <w:rsid w:val="007B5B65"/>
    <w:rsid w:val="007C23ED"/>
    <w:rsid w:val="007C44F4"/>
    <w:rsid w:val="007C490F"/>
    <w:rsid w:val="007C4C91"/>
    <w:rsid w:val="007C603C"/>
    <w:rsid w:val="007D0529"/>
    <w:rsid w:val="007D2FED"/>
    <w:rsid w:val="007D5B51"/>
    <w:rsid w:val="007D5BDA"/>
    <w:rsid w:val="007D733D"/>
    <w:rsid w:val="007E134A"/>
    <w:rsid w:val="007E19C5"/>
    <w:rsid w:val="007E2057"/>
    <w:rsid w:val="007E36EC"/>
    <w:rsid w:val="007E3E9F"/>
    <w:rsid w:val="007E4470"/>
    <w:rsid w:val="007E7A96"/>
    <w:rsid w:val="007F1D84"/>
    <w:rsid w:val="007F22DC"/>
    <w:rsid w:val="007F2F44"/>
    <w:rsid w:val="007F4ABF"/>
    <w:rsid w:val="007F71FF"/>
    <w:rsid w:val="00800F43"/>
    <w:rsid w:val="008019B1"/>
    <w:rsid w:val="00802326"/>
    <w:rsid w:val="008027E0"/>
    <w:rsid w:val="0080776F"/>
    <w:rsid w:val="0081071C"/>
    <w:rsid w:val="008138F8"/>
    <w:rsid w:val="00816B17"/>
    <w:rsid w:val="00817D65"/>
    <w:rsid w:val="00821E4C"/>
    <w:rsid w:val="008230DC"/>
    <w:rsid w:val="00827E75"/>
    <w:rsid w:val="00837876"/>
    <w:rsid w:val="00837ABA"/>
    <w:rsid w:val="00837B51"/>
    <w:rsid w:val="008408D6"/>
    <w:rsid w:val="008415DF"/>
    <w:rsid w:val="00843731"/>
    <w:rsid w:val="00844887"/>
    <w:rsid w:val="00844ABE"/>
    <w:rsid w:val="0084500F"/>
    <w:rsid w:val="00846E0A"/>
    <w:rsid w:val="00847F66"/>
    <w:rsid w:val="00850595"/>
    <w:rsid w:val="00852DF2"/>
    <w:rsid w:val="00853395"/>
    <w:rsid w:val="00853DA4"/>
    <w:rsid w:val="00855406"/>
    <w:rsid w:val="0085729F"/>
    <w:rsid w:val="008620C2"/>
    <w:rsid w:val="00862277"/>
    <w:rsid w:val="0086495F"/>
    <w:rsid w:val="00866461"/>
    <w:rsid w:val="00866B02"/>
    <w:rsid w:val="00866D83"/>
    <w:rsid w:val="008674E7"/>
    <w:rsid w:val="00873C83"/>
    <w:rsid w:val="00875647"/>
    <w:rsid w:val="00876404"/>
    <w:rsid w:val="00881179"/>
    <w:rsid w:val="00882CF0"/>
    <w:rsid w:val="00886402"/>
    <w:rsid w:val="00886510"/>
    <w:rsid w:val="0088734E"/>
    <w:rsid w:val="008910CD"/>
    <w:rsid w:val="008918CE"/>
    <w:rsid w:val="008921C9"/>
    <w:rsid w:val="0089254A"/>
    <w:rsid w:val="00893421"/>
    <w:rsid w:val="008939FD"/>
    <w:rsid w:val="0089485E"/>
    <w:rsid w:val="008A256D"/>
    <w:rsid w:val="008A2647"/>
    <w:rsid w:val="008A3C51"/>
    <w:rsid w:val="008A6C03"/>
    <w:rsid w:val="008A7FD6"/>
    <w:rsid w:val="008B10F7"/>
    <w:rsid w:val="008B1276"/>
    <w:rsid w:val="008B1457"/>
    <w:rsid w:val="008B28AE"/>
    <w:rsid w:val="008B2908"/>
    <w:rsid w:val="008B3B69"/>
    <w:rsid w:val="008C3D7D"/>
    <w:rsid w:val="008C5DB3"/>
    <w:rsid w:val="008C69E8"/>
    <w:rsid w:val="008C6B68"/>
    <w:rsid w:val="008D0428"/>
    <w:rsid w:val="008D1135"/>
    <w:rsid w:val="008D2561"/>
    <w:rsid w:val="008D2BC7"/>
    <w:rsid w:val="008D4491"/>
    <w:rsid w:val="008D49E7"/>
    <w:rsid w:val="008E0F2D"/>
    <w:rsid w:val="008E1EBA"/>
    <w:rsid w:val="008E6FD7"/>
    <w:rsid w:val="008E7711"/>
    <w:rsid w:val="008E7D68"/>
    <w:rsid w:val="008F3EC7"/>
    <w:rsid w:val="008F4117"/>
    <w:rsid w:val="008F5CEE"/>
    <w:rsid w:val="008F6AF7"/>
    <w:rsid w:val="00903745"/>
    <w:rsid w:val="009062EC"/>
    <w:rsid w:val="0090642A"/>
    <w:rsid w:val="009111B4"/>
    <w:rsid w:val="009128DD"/>
    <w:rsid w:val="009128E0"/>
    <w:rsid w:val="00914871"/>
    <w:rsid w:val="00915367"/>
    <w:rsid w:val="0091595C"/>
    <w:rsid w:val="0091655D"/>
    <w:rsid w:val="00916A2E"/>
    <w:rsid w:val="00917314"/>
    <w:rsid w:val="00917B44"/>
    <w:rsid w:val="0092061A"/>
    <w:rsid w:val="009221EC"/>
    <w:rsid w:val="009228E3"/>
    <w:rsid w:val="00923081"/>
    <w:rsid w:val="00923E17"/>
    <w:rsid w:val="009243A6"/>
    <w:rsid w:val="00933520"/>
    <w:rsid w:val="00935BAB"/>
    <w:rsid w:val="0094154E"/>
    <w:rsid w:val="009438A4"/>
    <w:rsid w:val="00945E4E"/>
    <w:rsid w:val="00950DF3"/>
    <w:rsid w:val="00955EEC"/>
    <w:rsid w:val="00957E2D"/>
    <w:rsid w:val="009632B0"/>
    <w:rsid w:val="00963D85"/>
    <w:rsid w:val="00972ACE"/>
    <w:rsid w:val="00973119"/>
    <w:rsid w:val="00975412"/>
    <w:rsid w:val="0097685F"/>
    <w:rsid w:val="00980445"/>
    <w:rsid w:val="009808E4"/>
    <w:rsid w:val="00980A2F"/>
    <w:rsid w:val="00980E98"/>
    <w:rsid w:val="009839E4"/>
    <w:rsid w:val="00990306"/>
    <w:rsid w:val="009928DB"/>
    <w:rsid w:val="00992DBB"/>
    <w:rsid w:val="00993132"/>
    <w:rsid w:val="009940C2"/>
    <w:rsid w:val="009969DC"/>
    <w:rsid w:val="0099711E"/>
    <w:rsid w:val="009A0DBB"/>
    <w:rsid w:val="009A24CC"/>
    <w:rsid w:val="009A2566"/>
    <w:rsid w:val="009A4044"/>
    <w:rsid w:val="009A4DDA"/>
    <w:rsid w:val="009A7731"/>
    <w:rsid w:val="009A7A49"/>
    <w:rsid w:val="009B475C"/>
    <w:rsid w:val="009B4D37"/>
    <w:rsid w:val="009B6846"/>
    <w:rsid w:val="009B7091"/>
    <w:rsid w:val="009C208A"/>
    <w:rsid w:val="009C3120"/>
    <w:rsid w:val="009C40D1"/>
    <w:rsid w:val="009C74B8"/>
    <w:rsid w:val="009D2275"/>
    <w:rsid w:val="009D3CCF"/>
    <w:rsid w:val="009D58F7"/>
    <w:rsid w:val="009D7BDA"/>
    <w:rsid w:val="009E04BD"/>
    <w:rsid w:val="009E0A17"/>
    <w:rsid w:val="009E4302"/>
    <w:rsid w:val="009E43DE"/>
    <w:rsid w:val="009E5F38"/>
    <w:rsid w:val="009E6DB8"/>
    <w:rsid w:val="009E7147"/>
    <w:rsid w:val="009F079B"/>
    <w:rsid w:val="009F5660"/>
    <w:rsid w:val="009F6851"/>
    <w:rsid w:val="009F74A2"/>
    <w:rsid w:val="009F7747"/>
    <w:rsid w:val="009F784B"/>
    <w:rsid w:val="009F79E4"/>
    <w:rsid w:val="00A031A9"/>
    <w:rsid w:val="00A0500E"/>
    <w:rsid w:val="00A05CA8"/>
    <w:rsid w:val="00A07747"/>
    <w:rsid w:val="00A07B30"/>
    <w:rsid w:val="00A13D5C"/>
    <w:rsid w:val="00A14DE4"/>
    <w:rsid w:val="00A20563"/>
    <w:rsid w:val="00A221CA"/>
    <w:rsid w:val="00A25881"/>
    <w:rsid w:val="00A26170"/>
    <w:rsid w:val="00A316B8"/>
    <w:rsid w:val="00A31A47"/>
    <w:rsid w:val="00A31DA6"/>
    <w:rsid w:val="00A31DD7"/>
    <w:rsid w:val="00A321C6"/>
    <w:rsid w:val="00A322BB"/>
    <w:rsid w:val="00A33872"/>
    <w:rsid w:val="00A3469F"/>
    <w:rsid w:val="00A40338"/>
    <w:rsid w:val="00A42422"/>
    <w:rsid w:val="00A43C64"/>
    <w:rsid w:val="00A43D60"/>
    <w:rsid w:val="00A43DE9"/>
    <w:rsid w:val="00A4499E"/>
    <w:rsid w:val="00A46CB0"/>
    <w:rsid w:val="00A53895"/>
    <w:rsid w:val="00A53E85"/>
    <w:rsid w:val="00A5518E"/>
    <w:rsid w:val="00A6123C"/>
    <w:rsid w:val="00A62142"/>
    <w:rsid w:val="00A62F25"/>
    <w:rsid w:val="00A63A7D"/>
    <w:rsid w:val="00A64D79"/>
    <w:rsid w:val="00A65738"/>
    <w:rsid w:val="00A67EAD"/>
    <w:rsid w:val="00A703F6"/>
    <w:rsid w:val="00A71282"/>
    <w:rsid w:val="00A7170D"/>
    <w:rsid w:val="00A71B13"/>
    <w:rsid w:val="00A734B7"/>
    <w:rsid w:val="00A73515"/>
    <w:rsid w:val="00A74DF6"/>
    <w:rsid w:val="00A760D0"/>
    <w:rsid w:val="00A77497"/>
    <w:rsid w:val="00A803D9"/>
    <w:rsid w:val="00A84915"/>
    <w:rsid w:val="00A86E0D"/>
    <w:rsid w:val="00A87C60"/>
    <w:rsid w:val="00A905E6"/>
    <w:rsid w:val="00A92EDB"/>
    <w:rsid w:val="00A960F9"/>
    <w:rsid w:val="00A96349"/>
    <w:rsid w:val="00AA2B9D"/>
    <w:rsid w:val="00AA4F21"/>
    <w:rsid w:val="00AA7460"/>
    <w:rsid w:val="00AB0143"/>
    <w:rsid w:val="00AB26D3"/>
    <w:rsid w:val="00AB2800"/>
    <w:rsid w:val="00AB2E23"/>
    <w:rsid w:val="00AB3F0D"/>
    <w:rsid w:val="00AB40B1"/>
    <w:rsid w:val="00AB6F2D"/>
    <w:rsid w:val="00AC68EC"/>
    <w:rsid w:val="00AC7CEB"/>
    <w:rsid w:val="00AD13DA"/>
    <w:rsid w:val="00AD14CF"/>
    <w:rsid w:val="00AD21FC"/>
    <w:rsid w:val="00AD2D0A"/>
    <w:rsid w:val="00AD2DD9"/>
    <w:rsid w:val="00AD3658"/>
    <w:rsid w:val="00AD38D2"/>
    <w:rsid w:val="00AD7EC0"/>
    <w:rsid w:val="00AE1091"/>
    <w:rsid w:val="00AE1AAC"/>
    <w:rsid w:val="00AE29A0"/>
    <w:rsid w:val="00AE2E9B"/>
    <w:rsid w:val="00AE3B9D"/>
    <w:rsid w:val="00AE3CFB"/>
    <w:rsid w:val="00AE7C2E"/>
    <w:rsid w:val="00AF0698"/>
    <w:rsid w:val="00AF1153"/>
    <w:rsid w:val="00AF1CE3"/>
    <w:rsid w:val="00AF2913"/>
    <w:rsid w:val="00AF3128"/>
    <w:rsid w:val="00AF4050"/>
    <w:rsid w:val="00AF4573"/>
    <w:rsid w:val="00AF5598"/>
    <w:rsid w:val="00AF5981"/>
    <w:rsid w:val="00AF691B"/>
    <w:rsid w:val="00AF7344"/>
    <w:rsid w:val="00B0096F"/>
    <w:rsid w:val="00B009DF"/>
    <w:rsid w:val="00B0240D"/>
    <w:rsid w:val="00B03E27"/>
    <w:rsid w:val="00B04A9B"/>
    <w:rsid w:val="00B06CF8"/>
    <w:rsid w:val="00B0798F"/>
    <w:rsid w:val="00B11D1E"/>
    <w:rsid w:val="00B12CA5"/>
    <w:rsid w:val="00B14669"/>
    <w:rsid w:val="00B14820"/>
    <w:rsid w:val="00B16BBB"/>
    <w:rsid w:val="00B20E9D"/>
    <w:rsid w:val="00B2139E"/>
    <w:rsid w:val="00B23D69"/>
    <w:rsid w:val="00B24F9B"/>
    <w:rsid w:val="00B31F00"/>
    <w:rsid w:val="00B325B0"/>
    <w:rsid w:val="00B328B7"/>
    <w:rsid w:val="00B33016"/>
    <w:rsid w:val="00B35574"/>
    <w:rsid w:val="00B357EC"/>
    <w:rsid w:val="00B41301"/>
    <w:rsid w:val="00B54065"/>
    <w:rsid w:val="00B56DF6"/>
    <w:rsid w:val="00B56F8D"/>
    <w:rsid w:val="00B571FA"/>
    <w:rsid w:val="00B5768F"/>
    <w:rsid w:val="00B60FD7"/>
    <w:rsid w:val="00B63778"/>
    <w:rsid w:val="00B66861"/>
    <w:rsid w:val="00B70867"/>
    <w:rsid w:val="00B7190B"/>
    <w:rsid w:val="00B731B6"/>
    <w:rsid w:val="00B74455"/>
    <w:rsid w:val="00B75D95"/>
    <w:rsid w:val="00B779F9"/>
    <w:rsid w:val="00B836DF"/>
    <w:rsid w:val="00B84B2F"/>
    <w:rsid w:val="00B850A7"/>
    <w:rsid w:val="00B85373"/>
    <w:rsid w:val="00B940D0"/>
    <w:rsid w:val="00B947DA"/>
    <w:rsid w:val="00B955D6"/>
    <w:rsid w:val="00BA1525"/>
    <w:rsid w:val="00BA1B7F"/>
    <w:rsid w:val="00BA1C9C"/>
    <w:rsid w:val="00BA2A0B"/>
    <w:rsid w:val="00BA321A"/>
    <w:rsid w:val="00BA36A8"/>
    <w:rsid w:val="00BA5260"/>
    <w:rsid w:val="00BB09C7"/>
    <w:rsid w:val="00BB0CA0"/>
    <w:rsid w:val="00BB153B"/>
    <w:rsid w:val="00BB1949"/>
    <w:rsid w:val="00BB2945"/>
    <w:rsid w:val="00BB409C"/>
    <w:rsid w:val="00BB513A"/>
    <w:rsid w:val="00BB5319"/>
    <w:rsid w:val="00BB71BB"/>
    <w:rsid w:val="00BC09EC"/>
    <w:rsid w:val="00BC1E2B"/>
    <w:rsid w:val="00BC3391"/>
    <w:rsid w:val="00BC698A"/>
    <w:rsid w:val="00BC73A8"/>
    <w:rsid w:val="00BC78B7"/>
    <w:rsid w:val="00BD3CEB"/>
    <w:rsid w:val="00BD43C3"/>
    <w:rsid w:val="00BD749E"/>
    <w:rsid w:val="00BE04B3"/>
    <w:rsid w:val="00BE0E8E"/>
    <w:rsid w:val="00BE1B93"/>
    <w:rsid w:val="00BE1BBA"/>
    <w:rsid w:val="00BE1EBF"/>
    <w:rsid w:val="00BE269B"/>
    <w:rsid w:val="00BE5564"/>
    <w:rsid w:val="00BE6880"/>
    <w:rsid w:val="00BE73B0"/>
    <w:rsid w:val="00BE740F"/>
    <w:rsid w:val="00BF196C"/>
    <w:rsid w:val="00BF1A8C"/>
    <w:rsid w:val="00BF1D6F"/>
    <w:rsid w:val="00C03F33"/>
    <w:rsid w:val="00C067CE"/>
    <w:rsid w:val="00C10223"/>
    <w:rsid w:val="00C20117"/>
    <w:rsid w:val="00C2344A"/>
    <w:rsid w:val="00C2366C"/>
    <w:rsid w:val="00C269B4"/>
    <w:rsid w:val="00C26E16"/>
    <w:rsid w:val="00C3007C"/>
    <w:rsid w:val="00C305EE"/>
    <w:rsid w:val="00C31CB8"/>
    <w:rsid w:val="00C33664"/>
    <w:rsid w:val="00C36DF3"/>
    <w:rsid w:val="00C37299"/>
    <w:rsid w:val="00C40C5A"/>
    <w:rsid w:val="00C41BAC"/>
    <w:rsid w:val="00C43639"/>
    <w:rsid w:val="00C51849"/>
    <w:rsid w:val="00C57FCB"/>
    <w:rsid w:val="00C61957"/>
    <w:rsid w:val="00C62FAB"/>
    <w:rsid w:val="00C6563C"/>
    <w:rsid w:val="00C65A99"/>
    <w:rsid w:val="00C71263"/>
    <w:rsid w:val="00C719C2"/>
    <w:rsid w:val="00C80FBD"/>
    <w:rsid w:val="00C83E7D"/>
    <w:rsid w:val="00C9091C"/>
    <w:rsid w:val="00C9330C"/>
    <w:rsid w:val="00C940AC"/>
    <w:rsid w:val="00C942EA"/>
    <w:rsid w:val="00C95BD9"/>
    <w:rsid w:val="00C96AC5"/>
    <w:rsid w:val="00CA08FC"/>
    <w:rsid w:val="00CA2512"/>
    <w:rsid w:val="00CA4108"/>
    <w:rsid w:val="00CA44BD"/>
    <w:rsid w:val="00CB22E9"/>
    <w:rsid w:val="00CB2EEC"/>
    <w:rsid w:val="00CB3458"/>
    <w:rsid w:val="00CB3E6D"/>
    <w:rsid w:val="00CB4E26"/>
    <w:rsid w:val="00CB6E3C"/>
    <w:rsid w:val="00CB6E82"/>
    <w:rsid w:val="00CB7677"/>
    <w:rsid w:val="00CC10DE"/>
    <w:rsid w:val="00CC2013"/>
    <w:rsid w:val="00CC3417"/>
    <w:rsid w:val="00CC348A"/>
    <w:rsid w:val="00CC3E13"/>
    <w:rsid w:val="00CC5115"/>
    <w:rsid w:val="00CC6C48"/>
    <w:rsid w:val="00CC7388"/>
    <w:rsid w:val="00CD12FB"/>
    <w:rsid w:val="00CD2C46"/>
    <w:rsid w:val="00CD3008"/>
    <w:rsid w:val="00CD66CA"/>
    <w:rsid w:val="00CD7126"/>
    <w:rsid w:val="00CE3D3E"/>
    <w:rsid w:val="00CE51F8"/>
    <w:rsid w:val="00CF1616"/>
    <w:rsid w:val="00CF203F"/>
    <w:rsid w:val="00CF4C69"/>
    <w:rsid w:val="00CF6076"/>
    <w:rsid w:val="00D00E52"/>
    <w:rsid w:val="00D00E8A"/>
    <w:rsid w:val="00D02A72"/>
    <w:rsid w:val="00D03A50"/>
    <w:rsid w:val="00D04631"/>
    <w:rsid w:val="00D05436"/>
    <w:rsid w:val="00D07750"/>
    <w:rsid w:val="00D10572"/>
    <w:rsid w:val="00D106D6"/>
    <w:rsid w:val="00D10CB0"/>
    <w:rsid w:val="00D11C6E"/>
    <w:rsid w:val="00D12062"/>
    <w:rsid w:val="00D1257B"/>
    <w:rsid w:val="00D12FE9"/>
    <w:rsid w:val="00D146DD"/>
    <w:rsid w:val="00D14F12"/>
    <w:rsid w:val="00D16B58"/>
    <w:rsid w:val="00D23907"/>
    <w:rsid w:val="00D25335"/>
    <w:rsid w:val="00D2685F"/>
    <w:rsid w:val="00D26C11"/>
    <w:rsid w:val="00D30A15"/>
    <w:rsid w:val="00D30D70"/>
    <w:rsid w:val="00D31B13"/>
    <w:rsid w:val="00D3252A"/>
    <w:rsid w:val="00D350CB"/>
    <w:rsid w:val="00D4111B"/>
    <w:rsid w:val="00D41AFC"/>
    <w:rsid w:val="00D41C3A"/>
    <w:rsid w:val="00D41D23"/>
    <w:rsid w:val="00D41E0A"/>
    <w:rsid w:val="00D42290"/>
    <w:rsid w:val="00D449D7"/>
    <w:rsid w:val="00D469C2"/>
    <w:rsid w:val="00D46DF3"/>
    <w:rsid w:val="00D51BD4"/>
    <w:rsid w:val="00D5251E"/>
    <w:rsid w:val="00D53ED0"/>
    <w:rsid w:val="00D55935"/>
    <w:rsid w:val="00D56959"/>
    <w:rsid w:val="00D57152"/>
    <w:rsid w:val="00D5762E"/>
    <w:rsid w:val="00D57AE6"/>
    <w:rsid w:val="00D616B5"/>
    <w:rsid w:val="00D63978"/>
    <w:rsid w:val="00D64F35"/>
    <w:rsid w:val="00D64FBE"/>
    <w:rsid w:val="00D650C8"/>
    <w:rsid w:val="00D658E6"/>
    <w:rsid w:val="00D670E7"/>
    <w:rsid w:val="00D6721C"/>
    <w:rsid w:val="00D70DD7"/>
    <w:rsid w:val="00D72A47"/>
    <w:rsid w:val="00D77F05"/>
    <w:rsid w:val="00D87130"/>
    <w:rsid w:val="00D91658"/>
    <w:rsid w:val="00D92135"/>
    <w:rsid w:val="00D93B44"/>
    <w:rsid w:val="00D947E4"/>
    <w:rsid w:val="00D95991"/>
    <w:rsid w:val="00D97DB3"/>
    <w:rsid w:val="00DA0176"/>
    <w:rsid w:val="00DA34C1"/>
    <w:rsid w:val="00DA51DB"/>
    <w:rsid w:val="00DA5C7B"/>
    <w:rsid w:val="00DA7EBF"/>
    <w:rsid w:val="00DB1C3C"/>
    <w:rsid w:val="00DB46FF"/>
    <w:rsid w:val="00DB74AC"/>
    <w:rsid w:val="00DC1151"/>
    <w:rsid w:val="00DC2874"/>
    <w:rsid w:val="00DC2A95"/>
    <w:rsid w:val="00DC35B5"/>
    <w:rsid w:val="00DC460F"/>
    <w:rsid w:val="00DC4837"/>
    <w:rsid w:val="00DC6195"/>
    <w:rsid w:val="00DC666E"/>
    <w:rsid w:val="00DC7840"/>
    <w:rsid w:val="00DD0127"/>
    <w:rsid w:val="00DD0F1F"/>
    <w:rsid w:val="00DD1803"/>
    <w:rsid w:val="00DD2A07"/>
    <w:rsid w:val="00DD2C20"/>
    <w:rsid w:val="00DD3AA1"/>
    <w:rsid w:val="00DD416A"/>
    <w:rsid w:val="00DD4C63"/>
    <w:rsid w:val="00DD5571"/>
    <w:rsid w:val="00DD56DB"/>
    <w:rsid w:val="00DD5E4A"/>
    <w:rsid w:val="00DD5F36"/>
    <w:rsid w:val="00DD6D53"/>
    <w:rsid w:val="00DD7398"/>
    <w:rsid w:val="00DE02C1"/>
    <w:rsid w:val="00DE2C9D"/>
    <w:rsid w:val="00DE44D5"/>
    <w:rsid w:val="00DE49E8"/>
    <w:rsid w:val="00DE4CFF"/>
    <w:rsid w:val="00DE7229"/>
    <w:rsid w:val="00DF0230"/>
    <w:rsid w:val="00DF1A80"/>
    <w:rsid w:val="00DF2294"/>
    <w:rsid w:val="00DF43E6"/>
    <w:rsid w:val="00DF7CC5"/>
    <w:rsid w:val="00E10895"/>
    <w:rsid w:val="00E1158E"/>
    <w:rsid w:val="00E11687"/>
    <w:rsid w:val="00E1624E"/>
    <w:rsid w:val="00E16B0A"/>
    <w:rsid w:val="00E17B71"/>
    <w:rsid w:val="00E23171"/>
    <w:rsid w:val="00E2336A"/>
    <w:rsid w:val="00E261F7"/>
    <w:rsid w:val="00E2764A"/>
    <w:rsid w:val="00E349E6"/>
    <w:rsid w:val="00E35D45"/>
    <w:rsid w:val="00E40AD8"/>
    <w:rsid w:val="00E42922"/>
    <w:rsid w:val="00E42D30"/>
    <w:rsid w:val="00E460DE"/>
    <w:rsid w:val="00E4612B"/>
    <w:rsid w:val="00E47726"/>
    <w:rsid w:val="00E54F84"/>
    <w:rsid w:val="00E54FBB"/>
    <w:rsid w:val="00E55FF0"/>
    <w:rsid w:val="00E604FF"/>
    <w:rsid w:val="00E6106C"/>
    <w:rsid w:val="00E62F66"/>
    <w:rsid w:val="00E67CA1"/>
    <w:rsid w:val="00E70D34"/>
    <w:rsid w:val="00E73046"/>
    <w:rsid w:val="00E74374"/>
    <w:rsid w:val="00E762DB"/>
    <w:rsid w:val="00E8062E"/>
    <w:rsid w:val="00E83C31"/>
    <w:rsid w:val="00E86FA1"/>
    <w:rsid w:val="00E92617"/>
    <w:rsid w:val="00E962FD"/>
    <w:rsid w:val="00EA1D67"/>
    <w:rsid w:val="00EA1FC5"/>
    <w:rsid w:val="00EA393A"/>
    <w:rsid w:val="00EA4E7E"/>
    <w:rsid w:val="00EA4EE2"/>
    <w:rsid w:val="00EA5C05"/>
    <w:rsid w:val="00EA5D38"/>
    <w:rsid w:val="00EB0D73"/>
    <w:rsid w:val="00EB0F8E"/>
    <w:rsid w:val="00EB1BDE"/>
    <w:rsid w:val="00EB20CE"/>
    <w:rsid w:val="00EB4D21"/>
    <w:rsid w:val="00EB4D42"/>
    <w:rsid w:val="00EB578F"/>
    <w:rsid w:val="00EC09C6"/>
    <w:rsid w:val="00EC1548"/>
    <w:rsid w:val="00EC266E"/>
    <w:rsid w:val="00EC43E6"/>
    <w:rsid w:val="00EC4CB0"/>
    <w:rsid w:val="00EC6E66"/>
    <w:rsid w:val="00ED08E5"/>
    <w:rsid w:val="00ED19A9"/>
    <w:rsid w:val="00ED28DA"/>
    <w:rsid w:val="00ED67BF"/>
    <w:rsid w:val="00ED7AF7"/>
    <w:rsid w:val="00ED7E80"/>
    <w:rsid w:val="00EE2EB0"/>
    <w:rsid w:val="00EE5713"/>
    <w:rsid w:val="00EE6E38"/>
    <w:rsid w:val="00EE6E64"/>
    <w:rsid w:val="00EF03A0"/>
    <w:rsid w:val="00EF08FD"/>
    <w:rsid w:val="00EF10ED"/>
    <w:rsid w:val="00EF15AF"/>
    <w:rsid w:val="00F03EC2"/>
    <w:rsid w:val="00F05818"/>
    <w:rsid w:val="00F06B37"/>
    <w:rsid w:val="00F07446"/>
    <w:rsid w:val="00F07721"/>
    <w:rsid w:val="00F102AA"/>
    <w:rsid w:val="00F13EE0"/>
    <w:rsid w:val="00F140CE"/>
    <w:rsid w:val="00F162FC"/>
    <w:rsid w:val="00F16EE7"/>
    <w:rsid w:val="00F17F2F"/>
    <w:rsid w:val="00F201FE"/>
    <w:rsid w:val="00F21300"/>
    <w:rsid w:val="00F22831"/>
    <w:rsid w:val="00F23AA8"/>
    <w:rsid w:val="00F24AB4"/>
    <w:rsid w:val="00F255F3"/>
    <w:rsid w:val="00F25B70"/>
    <w:rsid w:val="00F26BBF"/>
    <w:rsid w:val="00F304BD"/>
    <w:rsid w:val="00F32257"/>
    <w:rsid w:val="00F32FDC"/>
    <w:rsid w:val="00F33B18"/>
    <w:rsid w:val="00F34C7C"/>
    <w:rsid w:val="00F34DA7"/>
    <w:rsid w:val="00F358DF"/>
    <w:rsid w:val="00F35CDA"/>
    <w:rsid w:val="00F36640"/>
    <w:rsid w:val="00F40A56"/>
    <w:rsid w:val="00F41B46"/>
    <w:rsid w:val="00F43D47"/>
    <w:rsid w:val="00F44B17"/>
    <w:rsid w:val="00F44DE3"/>
    <w:rsid w:val="00F466D1"/>
    <w:rsid w:val="00F46958"/>
    <w:rsid w:val="00F50AF9"/>
    <w:rsid w:val="00F50CE6"/>
    <w:rsid w:val="00F53012"/>
    <w:rsid w:val="00F5493F"/>
    <w:rsid w:val="00F56145"/>
    <w:rsid w:val="00F56496"/>
    <w:rsid w:val="00F565B9"/>
    <w:rsid w:val="00F62D6E"/>
    <w:rsid w:val="00F6730F"/>
    <w:rsid w:val="00F70855"/>
    <w:rsid w:val="00F7172F"/>
    <w:rsid w:val="00F724B8"/>
    <w:rsid w:val="00F73502"/>
    <w:rsid w:val="00F73A91"/>
    <w:rsid w:val="00F757BD"/>
    <w:rsid w:val="00F80091"/>
    <w:rsid w:val="00F8223F"/>
    <w:rsid w:val="00F84478"/>
    <w:rsid w:val="00F85C0D"/>
    <w:rsid w:val="00F86D66"/>
    <w:rsid w:val="00F873A1"/>
    <w:rsid w:val="00F87C9C"/>
    <w:rsid w:val="00F9225B"/>
    <w:rsid w:val="00F934B1"/>
    <w:rsid w:val="00F94688"/>
    <w:rsid w:val="00F971E5"/>
    <w:rsid w:val="00F978E3"/>
    <w:rsid w:val="00F97C49"/>
    <w:rsid w:val="00FA044C"/>
    <w:rsid w:val="00FA1999"/>
    <w:rsid w:val="00FA1A3E"/>
    <w:rsid w:val="00FA5E80"/>
    <w:rsid w:val="00FB09D1"/>
    <w:rsid w:val="00FB28AA"/>
    <w:rsid w:val="00FB2DA1"/>
    <w:rsid w:val="00FB55A8"/>
    <w:rsid w:val="00FB576E"/>
    <w:rsid w:val="00FB60D5"/>
    <w:rsid w:val="00FC4763"/>
    <w:rsid w:val="00FC50F7"/>
    <w:rsid w:val="00FC589A"/>
    <w:rsid w:val="00FD11ED"/>
    <w:rsid w:val="00FD1B81"/>
    <w:rsid w:val="00FD27A6"/>
    <w:rsid w:val="00FD3C5E"/>
    <w:rsid w:val="00FD456C"/>
    <w:rsid w:val="00FD6484"/>
    <w:rsid w:val="00FE4432"/>
    <w:rsid w:val="00FE5E32"/>
    <w:rsid w:val="00FE5F21"/>
    <w:rsid w:val="00FE6B78"/>
    <w:rsid w:val="00FE71A8"/>
    <w:rsid w:val="00FE7651"/>
    <w:rsid w:val="00FF007F"/>
    <w:rsid w:val="00FF04F5"/>
    <w:rsid w:val="00FF32DD"/>
    <w:rsid w:val="00FF38B7"/>
    <w:rsid w:val="00FF4BCA"/>
    <w:rsid w:val="00FF67DD"/>
    <w:rsid w:val="00FF6B98"/>
    <w:rsid w:val="00FF7CE5"/>
    <w:rsid w:val="047B1C59"/>
    <w:rsid w:val="09725D75"/>
    <w:rsid w:val="0B2AB6AD"/>
    <w:rsid w:val="14BEEC68"/>
    <w:rsid w:val="16DD41C7"/>
    <w:rsid w:val="20D5F2BF"/>
    <w:rsid w:val="21BA02DF"/>
    <w:rsid w:val="2F4470A3"/>
    <w:rsid w:val="3837A6FD"/>
    <w:rsid w:val="3EEBF7F9"/>
    <w:rsid w:val="401B6591"/>
    <w:rsid w:val="4BD462C7"/>
    <w:rsid w:val="4D54AAE9"/>
    <w:rsid w:val="52BFA9DB"/>
    <w:rsid w:val="59033259"/>
    <w:rsid w:val="5B629C84"/>
    <w:rsid w:val="65EACA6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7F33E"/>
  <w15:docId w15:val="{F90DF34E-C3DC-4848-85E1-CD1868601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847F6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1"/>
    <w:next w:val="Normal"/>
    <w:link w:val="Heading2Char"/>
    <w:qFormat/>
    <w:rsid w:val="00BF196C"/>
    <w:pPr>
      <w:keepLines w:val="0"/>
      <w:spacing w:before="360" w:after="120" w:line="240" w:lineRule="auto"/>
      <w:ind w:left="624" w:hanging="624"/>
      <w:outlineLvl w:val="1"/>
    </w:pPr>
    <w:rPr>
      <w:rFonts w:ascii="Arial" w:eastAsia="Times New Roman" w:hAnsi="Arial" w:cs="Times New Roman"/>
      <w:b w:val="0"/>
      <w:bCs w:val="0"/>
      <w:color w:val="auto"/>
      <w:sz w:val="32"/>
      <w:szCs w:val="20"/>
      <w:lang w:eastAsia="fr-FR"/>
    </w:rPr>
  </w:style>
  <w:style w:type="paragraph" w:styleId="Heading3">
    <w:name w:val="heading 3"/>
    <w:basedOn w:val="Heading2"/>
    <w:next w:val="Normal"/>
    <w:link w:val="Heading3Char"/>
    <w:qFormat/>
    <w:rsid w:val="00BF196C"/>
    <w:pPr>
      <w:ind w:left="680" w:hanging="680"/>
      <w:outlineLvl w:val="2"/>
    </w:pPr>
    <w:rPr>
      <w:b/>
      <w:sz w:val="24"/>
    </w:rPr>
  </w:style>
  <w:style w:type="paragraph" w:styleId="Heading4">
    <w:name w:val="heading 4"/>
    <w:basedOn w:val="Heading3"/>
    <w:next w:val="Normal"/>
    <w:link w:val="Heading4Char"/>
    <w:qFormat/>
    <w:rsid w:val="00BF196C"/>
    <w:pPr>
      <w:spacing w:before="240"/>
      <w:ind w:left="794" w:hanging="794"/>
      <w:outlineLvl w:val="3"/>
    </w:pPr>
    <w:rPr>
      <w:b w:val="0"/>
      <w:sz w:val="22"/>
    </w:rPr>
  </w:style>
  <w:style w:type="paragraph" w:styleId="Heading5">
    <w:name w:val="heading 5"/>
    <w:basedOn w:val="Heading4"/>
    <w:link w:val="Heading5Char"/>
    <w:qFormat/>
    <w:rsid w:val="00BF196C"/>
    <w:pPr>
      <w:ind w:left="0" w:firstLine="0"/>
      <w:outlineLvl w:val="4"/>
    </w:pPr>
    <w:rPr>
      <w:rFonts w:ascii="Times New Roman" w:hAnsi="Times New Roman"/>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47F6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BF196C"/>
    <w:rPr>
      <w:rFonts w:ascii="Arial" w:eastAsia="Times New Roman" w:hAnsi="Arial" w:cs="Times New Roman"/>
      <w:sz w:val="32"/>
      <w:szCs w:val="20"/>
      <w:lang w:eastAsia="fr-FR"/>
    </w:rPr>
  </w:style>
  <w:style w:type="character" w:customStyle="1" w:styleId="Heading3Char">
    <w:name w:val="Heading 3 Char"/>
    <w:basedOn w:val="DefaultParagraphFont"/>
    <w:link w:val="Heading3"/>
    <w:rsid w:val="00BF196C"/>
    <w:rPr>
      <w:rFonts w:ascii="Arial" w:eastAsia="Times New Roman" w:hAnsi="Arial" w:cs="Times New Roman"/>
      <w:b/>
      <w:sz w:val="24"/>
      <w:szCs w:val="20"/>
      <w:lang w:eastAsia="fr-FR"/>
    </w:rPr>
  </w:style>
  <w:style w:type="character" w:customStyle="1" w:styleId="Heading4Char">
    <w:name w:val="Heading 4 Char"/>
    <w:basedOn w:val="DefaultParagraphFont"/>
    <w:link w:val="Heading4"/>
    <w:rsid w:val="00BF196C"/>
    <w:rPr>
      <w:rFonts w:ascii="Arial" w:eastAsia="Times New Roman" w:hAnsi="Arial" w:cs="Times New Roman"/>
      <w:szCs w:val="20"/>
      <w:lang w:eastAsia="fr-FR"/>
    </w:rPr>
  </w:style>
  <w:style w:type="character" w:customStyle="1" w:styleId="Heading5Char">
    <w:name w:val="Heading 5 Char"/>
    <w:basedOn w:val="DefaultParagraphFont"/>
    <w:link w:val="Heading5"/>
    <w:rsid w:val="00BF196C"/>
    <w:rPr>
      <w:rFonts w:ascii="Times New Roman" w:eastAsia="Times New Roman" w:hAnsi="Times New Roman" w:cs="Times New Roman"/>
      <w:b/>
      <w:i/>
      <w:szCs w:val="20"/>
      <w:lang w:eastAsia="fr-FR"/>
    </w:rPr>
  </w:style>
  <w:style w:type="paragraph" w:styleId="BalloonText">
    <w:name w:val="Balloon Text"/>
    <w:basedOn w:val="Normal"/>
    <w:link w:val="BalloonTextChar"/>
    <w:uiPriority w:val="99"/>
    <w:unhideWhenUsed/>
    <w:rsid w:val="008408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8408D6"/>
    <w:rPr>
      <w:rFonts w:ascii="Tahoma" w:hAnsi="Tahoma" w:cs="Tahoma"/>
      <w:sz w:val="16"/>
      <w:szCs w:val="16"/>
    </w:rPr>
  </w:style>
  <w:style w:type="paragraph" w:styleId="ListParagraph">
    <w:name w:val="List Paragraph"/>
    <w:basedOn w:val="Normal"/>
    <w:uiPriority w:val="34"/>
    <w:qFormat/>
    <w:rsid w:val="00D41AFC"/>
    <w:pPr>
      <w:ind w:left="720"/>
      <w:contextualSpacing/>
    </w:pPr>
  </w:style>
  <w:style w:type="paragraph" w:styleId="Header">
    <w:name w:val="header"/>
    <w:basedOn w:val="Normal"/>
    <w:link w:val="HeaderChar"/>
    <w:uiPriority w:val="99"/>
    <w:unhideWhenUsed/>
    <w:rsid w:val="0099711E"/>
    <w:pPr>
      <w:tabs>
        <w:tab w:val="center" w:pos="4536"/>
        <w:tab w:val="right" w:pos="9072"/>
      </w:tabs>
      <w:spacing w:after="0" w:line="240" w:lineRule="auto"/>
    </w:pPr>
  </w:style>
  <w:style w:type="character" w:customStyle="1" w:styleId="HeaderChar">
    <w:name w:val="Header Char"/>
    <w:basedOn w:val="DefaultParagraphFont"/>
    <w:link w:val="Header"/>
    <w:uiPriority w:val="99"/>
    <w:rsid w:val="0099711E"/>
  </w:style>
  <w:style w:type="paragraph" w:styleId="Footer">
    <w:name w:val="footer"/>
    <w:basedOn w:val="Normal"/>
    <w:link w:val="FooterChar"/>
    <w:unhideWhenUsed/>
    <w:rsid w:val="0099711E"/>
    <w:pPr>
      <w:tabs>
        <w:tab w:val="center" w:pos="4536"/>
        <w:tab w:val="right" w:pos="9072"/>
      </w:tabs>
      <w:spacing w:after="0" w:line="240" w:lineRule="auto"/>
    </w:pPr>
  </w:style>
  <w:style w:type="character" w:customStyle="1" w:styleId="FooterChar">
    <w:name w:val="Footer Char"/>
    <w:basedOn w:val="DefaultParagraphFont"/>
    <w:link w:val="Footer"/>
    <w:uiPriority w:val="99"/>
    <w:rsid w:val="0099711E"/>
  </w:style>
  <w:style w:type="character" w:styleId="CommentReference">
    <w:name w:val="annotation reference"/>
    <w:basedOn w:val="DefaultParagraphFont"/>
    <w:uiPriority w:val="99"/>
    <w:unhideWhenUsed/>
    <w:rsid w:val="00E8062E"/>
    <w:rPr>
      <w:sz w:val="16"/>
      <w:szCs w:val="16"/>
    </w:rPr>
  </w:style>
  <w:style w:type="paragraph" w:styleId="CommentText">
    <w:name w:val="annotation text"/>
    <w:basedOn w:val="Normal"/>
    <w:link w:val="CommentTextChar"/>
    <w:uiPriority w:val="99"/>
    <w:unhideWhenUsed/>
    <w:rsid w:val="00E8062E"/>
    <w:pPr>
      <w:spacing w:line="240" w:lineRule="auto"/>
    </w:pPr>
    <w:rPr>
      <w:sz w:val="20"/>
      <w:szCs w:val="20"/>
    </w:rPr>
  </w:style>
  <w:style w:type="character" w:customStyle="1" w:styleId="CommentTextChar">
    <w:name w:val="Comment Text Char"/>
    <w:basedOn w:val="DefaultParagraphFont"/>
    <w:link w:val="CommentText"/>
    <w:uiPriority w:val="99"/>
    <w:rsid w:val="00E8062E"/>
    <w:rPr>
      <w:sz w:val="20"/>
      <w:szCs w:val="20"/>
    </w:rPr>
  </w:style>
  <w:style w:type="paragraph" w:styleId="CommentSubject">
    <w:name w:val="annotation subject"/>
    <w:basedOn w:val="CommentText"/>
    <w:next w:val="CommentText"/>
    <w:link w:val="CommentSubjectChar"/>
    <w:uiPriority w:val="99"/>
    <w:unhideWhenUsed/>
    <w:rsid w:val="00E8062E"/>
    <w:rPr>
      <w:b/>
      <w:bCs/>
    </w:rPr>
  </w:style>
  <w:style w:type="character" w:customStyle="1" w:styleId="CommentSubjectChar">
    <w:name w:val="Comment Subject Char"/>
    <w:basedOn w:val="CommentTextChar"/>
    <w:link w:val="CommentSubject"/>
    <w:uiPriority w:val="99"/>
    <w:rsid w:val="00E8062E"/>
    <w:rPr>
      <w:b/>
      <w:bCs/>
      <w:sz w:val="20"/>
      <w:szCs w:val="20"/>
    </w:rPr>
  </w:style>
  <w:style w:type="table" w:styleId="TableGrid">
    <w:name w:val="Table Grid"/>
    <w:basedOn w:val="TableNormal"/>
    <w:uiPriority w:val="59"/>
    <w:rsid w:val="009206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unhideWhenUsed/>
    <w:rsid w:val="00CD66CA"/>
    <w:pPr>
      <w:spacing w:after="0" w:line="240" w:lineRule="auto"/>
    </w:pPr>
    <w:rPr>
      <w:sz w:val="20"/>
      <w:szCs w:val="20"/>
    </w:rPr>
  </w:style>
  <w:style w:type="character" w:customStyle="1" w:styleId="FootnoteTextChar">
    <w:name w:val="Footnote Text Char"/>
    <w:basedOn w:val="DefaultParagraphFont"/>
    <w:link w:val="FootnoteText"/>
    <w:semiHidden/>
    <w:rsid w:val="00CD66CA"/>
    <w:rPr>
      <w:sz w:val="20"/>
      <w:szCs w:val="20"/>
    </w:rPr>
  </w:style>
  <w:style w:type="character" w:styleId="FootnoteReference">
    <w:name w:val="footnote reference"/>
    <w:basedOn w:val="DefaultParagraphFont"/>
    <w:semiHidden/>
    <w:unhideWhenUsed/>
    <w:rsid w:val="00CD66CA"/>
    <w:rPr>
      <w:vertAlign w:val="superscript"/>
    </w:rPr>
  </w:style>
  <w:style w:type="paragraph" w:styleId="Revision">
    <w:name w:val="Revision"/>
    <w:hidden/>
    <w:uiPriority w:val="99"/>
    <w:semiHidden/>
    <w:rsid w:val="003E6AEE"/>
    <w:pPr>
      <w:spacing w:after="0" w:line="240" w:lineRule="auto"/>
    </w:pPr>
  </w:style>
  <w:style w:type="paragraph" w:customStyle="1" w:styleId="Default">
    <w:name w:val="Default"/>
    <w:rsid w:val="00EA1D67"/>
    <w:pPr>
      <w:autoSpaceDE w:val="0"/>
      <w:autoSpaceDN w:val="0"/>
      <w:adjustRightInd w:val="0"/>
      <w:spacing w:after="0" w:line="240" w:lineRule="auto"/>
    </w:pPr>
    <w:rPr>
      <w:rFonts w:ascii="Times New Roman" w:hAnsi="Times New Roman" w:cs="Times New Roman"/>
      <w:color w:val="000000"/>
      <w:sz w:val="24"/>
      <w:szCs w:val="24"/>
      <w:lang w:val="de-DE"/>
    </w:rPr>
  </w:style>
  <w:style w:type="character" w:styleId="Hyperlink">
    <w:name w:val="Hyperlink"/>
    <w:basedOn w:val="DefaultParagraphFont"/>
    <w:uiPriority w:val="99"/>
    <w:unhideWhenUsed/>
    <w:rsid w:val="00F94688"/>
    <w:rPr>
      <w:color w:val="0000FF" w:themeColor="hyperlink"/>
      <w:u w:val="single"/>
    </w:rPr>
  </w:style>
  <w:style w:type="paragraph" w:styleId="NoSpacing">
    <w:name w:val="No Spacing"/>
    <w:uiPriority w:val="1"/>
    <w:qFormat/>
    <w:rsid w:val="00BF196C"/>
    <w:pPr>
      <w:spacing w:after="0" w:line="240" w:lineRule="auto"/>
    </w:pPr>
    <w:rPr>
      <w:lang w:val="en-GB"/>
    </w:rPr>
  </w:style>
  <w:style w:type="paragraph" w:styleId="TOC1">
    <w:name w:val="toc 1"/>
    <w:basedOn w:val="Normal"/>
    <w:next w:val="Normal"/>
    <w:autoRedefine/>
    <w:semiHidden/>
    <w:rsid w:val="00BF196C"/>
    <w:pPr>
      <w:tabs>
        <w:tab w:val="right" w:leader="dot" w:pos="8222"/>
      </w:tabs>
      <w:spacing w:before="240" w:after="60" w:line="240" w:lineRule="auto"/>
      <w:ind w:left="680" w:right="851" w:hanging="340"/>
      <w:jc w:val="both"/>
    </w:pPr>
    <w:rPr>
      <w:rFonts w:ascii="Arial" w:eastAsia="Times New Roman" w:hAnsi="Arial" w:cs="Times New Roman"/>
      <w:b/>
      <w:caps/>
      <w:sz w:val="24"/>
      <w:szCs w:val="20"/>
      <w:lang w:eastAsia="fr-FR"/>
    </w:rPr>
  </w:style>
  <w:style w:type="paragraph" w:styleId="Caption">
    <w:name w:val="caption"/>
    <w:basedOn w:val="Normal"/>
    <w:next w:val="Normal"/>
    <w:qFormat/>
    <w:rsid w:val="00BF196C"/>
    <w:pPr>
      <w:spacing w:after="0" w:line="240" w:lineRule="auto"/>
      <w:jc w:val="both"/>
    </w:pPr>
    <w:rPr>
      <w:rFonts w:ascii="Arial" w:eastAsia="Times New Roman" w:hAnsi="Arial" w:cs="Times New Roman"/>
      <w:b/>
      <w:sz w:val="20"/>
      <w:szCs w:val="20"/>
      <w:lang w:eastAsia="fr-FR"/>
    </w:rPr>
  </w:style>
  <w:style w:type="paragraph" w:styleId="Title">
    <w:name w:val="Title"/>
    <w:basedOn w:val="Normal"/>
    <w:next w:val="Normal"/>
    <w:link w:val="TitleChar"/>
    <w:autoRedefine/>
    <w:qFormat/>
    <w:rsid w:val="00BF196C"/>
    <w:pPr>
      <w:pBdr>
        <w:bottom w:val="single" w:sz="8" w:space="4" w:color="4F81BD" w:themeColor="accent1"/>
      </w:pBdr>
      <w:spacing w:after="300" w:line="240" w:lineRule="auto"/>
      <w:contextualSpacing/>
      <w:jc w:val="both"/>
    </w:pPr>
    <w:rPr>
      <w:rFonts w:ascii="Arial" w:eastAsiaTheme="majorEastAsia" w:hAnsi="Arial" w:cstheme="majorBidi"/>
      <w:color w:val="17365D" w:themeColor="text2" w:themeShade="BF"/>
      <w:spacing w:val="5"/>
      <w:kern w:val="28"/>
      <w:sz w:val="52"/>
      <w:szCs w:val="52"/>
      <w:lang w:eastAsia="fr-FR"/>
    </w:rPr>
  </w:style>
  <w:style w:type="character" w:customStyle="1" w:styleId="TitleChar">
    <w:name w:val="Title Char"/>
    <w:basedOn w:val="DefaultParagraphFont"/>
    <w:link w:val="Title"/>
    <w:rsid w:val="00BF196C"/>
    <w:rPr>
      <w:rFonts w:ascii="Arial" w:eastAsiaTheme="majorEastAsia" w:hAnsi="Arial" w:cstheme="majorBidi"/>
      <w:color w:val="17365D" w:themeColor="text2" w:themeShade="BF"/>
      <w:spacing w:val="5"/>
      <w:kern w:val="28"/>
      <w:sz w:val="52"/>
      <w:szCs w:val="52"/>
      <w:lang w:eastAsia="fr-FR"/>
    </w:rPr>
  </w:style>
  <w:style w:type="paragraph" w:styleId="PlainText">
    <w:name w:val="Plain Text"/>
    <w:basedOn w:val="Normal"/>
    <w:link w:val="PlainTextChar"/>
    <w:uiPriority w:val="99"/>
    <w:unhideWhenUsed/>
    <w:rsid w:val="00BF196C"/>
    <w:pPr>
      <w:spacing w:after="0" w:line="240" w:lineRule="auto"/>
    </w:pPr>
    <w:rPr>
      <w:rFonts w:ascii="Calibri" w:eastAsia="Times New Roman" w:hAnsi="Calibri" w:cs="Times New Roman"/>
      <w:szCs w:val="21"/>
      <w:lang w:val="en-GB" w:eastAsia="en-GB"/>
    </w:rPr>
  </w:style>
  <w:style w:type="character" w:customStyle="1" w:styleId="PlainTextChar">
    <w:name w:val="Plain Text Char"/>
    <w:basedOn w:val="DefaultParagraphFont"/>
    <w:link w:val="PlainText"/>
    <w:uiPriority w:val="99"/>
    <w:rsid w:val="00BF196C"/>
    <w:rPr>
      <w:rFonts w:ascii="Calibri" w:eastAsia="Times New Roman" w:hAnsi="Calibri" w:cs="Times New Roman"/>
      <w:szCs w:val="21"/>
      <w:lang w:val="en-GB" w:eastAsia="en-GB"/>
    </w:rPr>
  </w:style>
  <w:style w:type="paragraph" w:customStyle="1" w:styleId="xl16814">
    <w:name w:val="xl16814"/>
    <w:basedOn w:val="Normal"/>
    <w:rsid w:val="00BF196C"/>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Verdana" w:eastAsia="Times New Roman" w:hAnsi="Verdana" w:cs="Times New Roman"/>
      <w:sz w:val="24"/>
      <w:szCs w:val="24"/>
      <w:lang w:val="en-GB" w:eastAsia="en-GB"/>
    </w:rPr>
  </w:style>
  <w:style w:type="paragraph" w:customStyle="1" w:styleId="xl16815">
    <w:name w:val="xl16815"/>
    <w:basedOn w:val="Normal"/>
    <w:rsid w:val="00BF196C"/>
    <w:pPr>
      <w:shd w:val="clear" w:color="000000" w:fill="FFFFFF"/>
      <w:spacing w:before="100" w:beforeAutospacing="1" w:after="100" w:afterAutospacing="1" w:line="240" w:lineRule="auto"/>
      <w:jc w:val="center"/>
      <w:textAlignment w:val="center"/>
    </w:pPr>
    <w:rPr>
      <w:rFonts w:ascii="Verdana" w:eastAsia="Times New Roman" w:hAnsi="Verdana" w:cs="Times New Roman"/>
      <w:b/>
      <w:bCs/>
      <w:sz w:val="24"/>
      <w:szCs w:val="24"/>
      <w:lang w:val="en-GB" w:eastAsia="en-GB"/>
    </w:rPr>
  </w:style>
  <w:style w:type="paragraph" w:customStyle="1" w:styleId="xl16816">
    <w:name w:val="xl16816"/>
    <w:basedOn w:val="Normal"/>
    <w:rsid w:val="00BF196C"/>
    <w:pPr>
      <w:shd w:val="clear" w:color="000000" w:fill="FFFFFF"/>
      <w:spacing w:before="100" w:beforeAutospacing="1" w:after="100" w:afterAutospacing="1" w:line="240" w:lineRule="auto"/>
    </w:pPr>
    <w:rPr>
      <w:rFonts w:ascii="Verdana" w:eastAsia="Times New Roman" w:hAnsi="Verdana" w:cs="Times New Roman"/>
      <w:sz w:val="24"/>
      <w:szCs w:val="24"/>
      <w:lang w:val="en-GB" w:eastAsia="en-GB"/>
    </w:rPr>
  </w:style>
  <w:style w:type="paragraph" w:customStyle="1" w:styleId="xl16817">
    <w:name w:val="xl16817"/>
    <w:basedOn w:val="Normal"/>
    <w:rsid w:val="00BF1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Verdana" w:eastAsia="Times New Roman" w:hAnsi="Verdana" w:cs="Times New Roman"/>
      <w:sz w:val="24"/>
      <w:szCs w:val="24"/>
      <w:lang w:val="en-GB" w:eastAsia="en-GB"/>
    </w:rPr>
  </w:style>
  <w:style w:type="paragraph" w:customStyle="1" w:styleId="xl16818">
    <w:name w:val="xl16818"/>
    <w:basedOn w:val="Normal"/>
    <w:rsid w:val="00BF196C"/>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Verdana" w:eastAsia="Times New Roman" w:hAnsi="Verdana" w:cs="Times New Roman"/>
      <w:sz w:val="24"/>
      <w:szCs w:val="24"/>
      <w:lang w:val="en-GB" w:eastAsia="en-GB"/>
    </w:rPr>
  </w:style>
  <w:style w:type="paragraph" w:customStyle="1" w:styleId="xl16819">
    <w:name w:val="xl16819"/>
    <w:basedOn w:val="Normal"/>
    <w:rsid w:val="00BF196C"/>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Verdana" w:eastAsia="Times New Roman" w:hAnsi="Verdana" w:cs="Times New Roman"/>
      <w:sz w:val="24"/>
      <w:szCs w:val="24"/>
      <w:lang w:val="en-GB" w:eastAsia="en-GB"/>
    </w:rPr>
  </w:style>
  <w:style w:type="paragraph" w:customStyle="1" w:styleId="xl16820">
    <w:name w:val="xl16820"/>
    <w:basedOn w:val="Normal"/>
    <w:rsid w:val="00BF1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Verdana" w:eastAsia="Times New Roman" w:hAnsi="Verdana" w:cs="Times New Roman"/>
      <w:sz w:val="24"/>
      <w:szCs w:val="24"/>
      <w:lang w:val="en-GB" w:eastAsia="en-GB"/>
    </w:rPr>
  </w:style>
  <w:style w:type="paragraph" w:customStyle="1" w:styleId="xl16821">
    <w:name w:val="xl16821"/>
    <w:basedOn w:val="Normal"/>
    <w:rsid w:val="00BF196C"/>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Verdana" w:eastAsia="Times New Roman" w:hAnsi="Verdana" w:cs="Times New Roman"/>
      <w:sz w:val="24"/>
      <w:szCs w:val="24"/>
      <w:lang w:val="en-GB" w:eastAsia="en-GB"/>
    </w:rPr>
  </w:style>
  <w:style w:type="paragraph" w:customStyle="1" w:styleId="xl16822">
    <w:name w:val="xl16822"/>
    <w:basedOn w:val="Normal"/>
    <w:rsid w:val="00BF196C"/>
    <w:pPr>
      <w:shd w:val="clear" w:color="000000" w:fill="FFFFFF"/>
      <w:spacing w:before="100" w:beforeAutospacing="1" w:after="100" w:afterAutospacing="1" w:line="240" w:lineRule="auto"/>
      <w:textAlignment w:val="center"/>
    </w:pPr>
    <w:rPr>
      <w:rFonts w:ascii="Verdana" w:eastAsia="Times New Roman" w:hAnsi="Verdana" w:cs="Times New Roman"/>
      <w:b/>
      <w:bCs/>
      <w:sz w:val="24"/>
      <w:szCs w:val="24"/>
      <w:lang w:val="en-GB" w:eastAsia="en-GB"/>
    </w:rPr>
  </w:style>
  <w:style w:type="paragraph" w:customStyle="1" w:styleId="xl16823">
    <w:name w:val="xl16823"/>
    <w:basedOn w:val="Normal"/>
    <w:rsid w:val="00BF196C"/>
    <w:pPr>
      <w:shd w:val="clear" w:color="000000" w:fill="FFFFFF"/>
      <w:spacing w:before="100" w:beforeAutospacing="1" w:after="100" w:afterAutospacing="1" w:line="240" w:lineRule="auto"/>
      <w:textAlignment w:val="center"/>
    </w:pPr>
    <w:rPr>
      <w:rFonts w:ascii="Verdana" w:eastAsia="Times New Roman" w:hAnsi="Verdana" w:cs="Times New Roman"/>
      <w:sz w:val="24"/>
      <w:szCs w:val="24"/>
      <w:lang w:val="en-GB" w:eastAsia="en-GB"/>
    </w:rPr>
  </w:style>
  <w:style w:type="paragraph" w:customStyle="1" w:styleId="xl16824">
    <w:name w:val="xl16824"/>
    <w:basedOn w:val="Normal"/>
    <w:rsid w:val="00BF196C"/>
    <w:pPr>
      <w:shd w:val="clear" w:color="000000" w:fill="FFFFFF"/>
      <w:spacing w:before="100" w:beforeAutospacing="1" w:after="100" w:afterAutospacing="1" w:line="240" w:lineRule="auto"/>
      <w:textAlignment w:val="center"/>
    </w:pPr>
    <w:rPr>
      <w:rFonts w:ascii="Verdana" w:eastAsia="Times New Roman" w:hAnsi="Verdana" w:cs="Times New Roman"/>
      <w:b/>
      <w:bCs/>
      <w:sz w:val="24"/>
      <w:szCs w:val="24"/>
      <w:lang w:val="en-GB" w:eastAsia="en-GB"/>
    </w:rPr>
  </w:style>
  <w:style w:type="paragraph" w:customStyle="1" w:styleId="xl16825">
    <w:name w:val="xl16825"/>
    <w:basedOn w:val="Normal"/>
    <w:rsid w:val="00BF196C"/>
    <w:pPr>
      <w:shd w:val="clear" w:color="000000" w:fill="FFFFFF"/>
      <w:spacing w:before="100" w:beforeAutospacing="1" w:after="100" w:afterAutospacing="1" w:line="240" w:lineRule="auto"/>
      <w:jc w:val="center"/>
    </w:pPr>
    <w:rPr>
      <w:rFonts w:ascii="Verdana" w:eastAsia="Times New Roman" w:hAnsi="Verdana" w:cs="Times New Roman"/>
      <w:b/>
      <w:bCs/>
      <w:sz w:val="24"/>
      <w:szCs w:val="24"/>
      <w:lang w:val="en-GB" w:eastAsia="en-GB"/>
    </w:rPr>
  </w:style>
  <w:style w:type="paragraph" w:customStyle="1" w:styleId="xl16826">
    <w:name w:val="xl16826"/>
    <w:basedOn w:val="Normal"/>
    <w:rsid w:val="00BF196C"/>
    <w:pPr>
      <w:shd w:val="clear" w:color="000000" w:fill="FFFFFF"/>
      <w:spacing w:before="100" w:beforeAutospacing="1" w:after="100" w:afterAutospacing="1" w:line="240" w:lineRule="auto"/>
      <w:jc w:val="center"/>
      <w:textAlignment w:val="center"/>
    </w:pPr>
    <w:rPr>
      <w:rFonts w:ascii="Verdana" w:eastAsia="Times New Roman" w:hAnsi="Verdana" w:cs="Times New Roman"/>
      <w:b/>
      <w:bCs/>
      <w:sz w:val="24"/>
      <w:szCs w:val="24"/>
      <w:lang w:val="en-GB" w:eastAsia="en-GB"/>
    </w:rPr>
  </w:style>
  <w:style w:type="paragraph" w:customStyle="1" w:styleId="xl16827">
    <w:name w:val="xl16827"/>
    <w:basedOn w:val="Normal"/>
    <w:rsid w:val="00BF196C"/>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Verdana" w:eastAsia="Times New Roman" w:hAnsi="Verdana" w:cs="Times New Roman"/>
      <w:sz w:val="24"/>
      <w:szCs w:val="24"/>
      <w:lang w:val="en-GB" w:eastAsia="en-GB"/>
    </w:rPr>
  </w:style>
  <w:style w:type="paragraph" w:customStyle="1" w:styleId="xl16828">
    <w:name w:val="xl16828"/>
    <w:basedOn w:val="Normal"/>
    <w:rsid w:val="00BF196C"/>
    <w:pPr>
      <w:pBdr>
        <w:left w:val="single" w:sz="4" w:space="7" w:color="auto"/>
        <w:right w:val="single" w:sz="4" w:space="0" w:color="auto"/>
      </w:pBdr>
      <w:shd w:val="clear" w:color="000000" w:fill="FFFFFF"/>
      <w:spacing w:before="100" w:beforeAutospacing="1" w:after="100" w:afterAutospacing="1" w:line="240" w:lineRule="auto"/>
      <w:ind w:firstLineChars="100" w:firstLine="100"/>
      <w:textAlignment w:val="top"/>
    </w:pPr>
    <w:rPr>
      <w:rFonts w:ascii="Verdana" w:eastAsia="Times New Roman" w:hAnsi="Verdana" w:cs="Times New Roman"/>
      <w:sz w:val="24"/>
      <w:szCs w:val="24"/>
      <w:lang w:val="en-GB" w:eastAsia="en-GB"/>
    </w:rPr>
  </w:style>
  <w:style w:type="paragraph" w:customStyle="1" w:styleId="xl16829">
    <w:name w:val="xl16829"/>
    <w:basedOn w:val="Normal"/>
    <w:rsid w:val="00BF196C"/>
    <w:pPr>
      <w:pBdr>
        <w:left w:val="single" w:sz="4" w:space="7" w:color="auto"/>
        <w:bottom w:val="single" w:sz="4" w:space="0" w:color="auto"/>
        <w:right w:val="single" w:sz="4" w:space="0" w:color="auto"/>
      </w:pBdr>
      <w:shd w:val="clear" w:color="000000" w:fill="FFFFFF"/>
      <w:spacing w:before="100" w:beforeAutospacing="1" w:after="100" w:afterAutospacing="1" w:line="240" w:lineRule="auto"/>
      <w:ind w:firstLineChars="100" w:firstLine="100"/>
      <w:textAlignment w:val="top"/>
    </w:pPr>
    <w:rPr>
      <w:rFonts w:ascii="Verdana" w:eastAsia="Times New Roman" w:hAnsi="Verdana" w:cs="Times New Roman"/>
      <w:sz w:val="24"/>
      <w:szCs w:val="24"/>
      <w:lang w:val="en-GB" w:eastAsia="en-GB"/>
    </w:rPr>
  </w:style>
  <w:style w:type="paragraph" w:customStyle="1" w:styleId="xl16830">
    <w:name w:val="xl16830"/>
    <w:basedOn w:val="Normal"/>
    <w:rsid w:val="00BF196C"/>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Verdana" w:eastAsia="Times New Roman" w:hAnsi="Verdana" w:cs="Times New Roman"/>
      <w:sz w:val="24"/>
      <w:szCs w:val="24"/>
      <w:lang w:val="en-GB" w:eastAsia="en-GB"/>
    </w:rPr>
  </w:style>
  <w:style w:type="paragraph" w:customStyle="1" w:styleId="xl16831">
    <w:name w:val="xl16831"/>
    <w:basedOn w:val="Normal"/>
    <w:rsid w:val="00BF196C"/>
    <w:pPr>
      <w:shd w:val="clear" w:color="000000" w:fill="FFFFFF"/>
      <w:spacing w:before="100" w:beforeAutospacing="1" w:after="100" w:afterAutospacing="1" w:line="240" w:lineRule="auto"/>
      <w:textAlignment w:val="top"/>
    </w:pPr>
    <w:rPr>
      <w:rFonts w:ascii="Verdana" w:eastAsia="Times New Roman" w:hAnsi="Verdana" w:cs="Times New Roman"/>
      <w:b/>
      <w:bCs/>
      <w:i/>
      <w:iCs/>
      <w:sz w:val="24"/>
      <w:szCs w:val="24"/>
      <w:lang w:val="en-GB" w:eastAsia="en-GB"/>
    </w:rPr>
  </w:style>
  <w:style w:type="paragraph" w:customStyle="1" w:styleId="xl16832">
    <w:name w:val="xl16832"/>
    <w:basedOn w:val="Normal"/>
    <w:rsid w:val="00BF196C"/>
    <w:pPr>
      <w:pBdr>
        <w:left w:val="single" w:sz="4" w:space="0" w:color="auto"/>
        <w:right w:val="single" w:sz="4" w:space="0" w:color="auto"/>
      </w:pBdr>
      <w:shd w:val="clear" w:color="000000" w:fill="FFFFFF"/>
      <w:spacing w:before="100" w:beforeAutospacing="1" w:after="100" w:afterAutospacing="1" w:line="240" w:lineRule="auto"/>
    </w:pPr>
    <w:rPr>
      <w:rFonts w:ascii="Verdana" w:eastAsia="Times New Roman" w:hAnsi="Verdana" w:cs="Times New Roman"/>
      <w:sz w:val="24"/>
      <w:szCs w:val="24"/>
      <w:lang w:val="en-GB" w:eastAsia="en-GB"/>
    </w:rPr>
  </w:style>
  <w:style w:type="paragraph" w:customStyle="1" w:styleId="xl16833">
    <w:name w:val="xl16833"/>
    <w:basedOn w:val="Normal"/>
    <w:rsid w:val="00BF196C"/>
    <w:pPr>
      <w:shd w:val="clear" w:color="000000" w:fill="FFFFFF"/>
      <w:spacing w:before="100" w:beforeAutospacing="1" w:after="100" w:afterAutospacing="1" w:line="240" w:lineRule="auto"/>
      <w:textAlignment w:val="center"/>
    </w:pPr>
    <w:rPr>
      <w:rFonts w:ascii="Verdana" w:eastAsia="Times New Roman" w:hAnsi="Verdana" w:cs="Times New Roman"/>
      <w:b/>
      <w:bCs/>
      <w:sz w:val="24"/>
      <w:szCs w:val="24"/>
      <w:lang w:val="en-GB" w:eastAsia="en-GB"/>
    </w:rPr>
  </w:style>
  <w:style w:type="paragraph" w:customStyle="1" w:styleId="xl16834">
    <w:name w:val="xl16834"/>
    <w:basedOn w:val="Normal"/>
    <w:rsid w:val="00BF196C"/>
    <w:pPr>
      <w:shd w:val="clear" w:color="000000" w:fill="FFFFFF"/>
      <w:spacing w:before="100" w:beforeAutospacing="1" w:after="100" w:afterAutospacing="1" w:line="240" w:lineRule="auto"/>
      <w:textAlignment w:val="top"/>
    </w:pPr>
    <w:rPr>
      <w:rFonts w:ascii="Verdana" w:eastAsia="Times New Roman" w:hAnsi="Verdana" w:cs="Times New Roman"/>
      <w:b/>
      <w:bCs/>
      <w:i/>
      <w:iCs/>
      <w:sz w:val="24"/>
      <w:szCs w:val="24"/>
      <w:lang w:val="en-GB" w:eastAsia="en-GB"/>
    </w:rPr>
  </w:style>
  <w:style w:type="paragraph" w:customStyle="1" w:styleId="xl16835">
    <w:name w:val="xl16835"/>
    <w:basedOn w:val="Normal"/>
    <w:rsid w:val="00BF196C"/>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Verdana" w:eastAsia="Times New Roman" w:hAnsi="Verdana" w:cs="Times New Roman"/>
      <w:sz w:val="24"/>
      <w:szCs w:val="24"/>
      <w:lang w:val="en-GB" w:eastAsia="en-GB"/>
    </w:rPr>
  </w:style>
  <w:style w:type="paragraph" w:customStyle="1" w:styleId="xl16836">
    <w:name w:val="xl16836"/>
    <w:basedOn w:val="Normal"/>
    <w:rsid w:val="00BF196C"/>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Verdana" w:eastAsia="Times New Roman" w:hAnsi="Verdana" w:cs="Times New Roman"/>
      <w:sz w:val="24"/>
      <w:szCs w:val="24"/>
      <w:lang w:val="en-GB" w:eastAsia="en-GB"/>
    </w:rPr>
  </w:style>
  <w:style w:type="paragraph" w:customStyle="1" w:styleId="xl16837">
    <w:name w:val="xl16837"/>
    <w:basedOn w:val="Normal"/>
    <w:rsid w:val="00BF196C"/>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Verdana" w:eastAsia="Times New Roman" w:hAnsi="Verdana" w:cs="Times New Roman"/>
      <w:sz w:val="24"/>
      <w:szCs w:val="24"/>
      <w:lang w:val="en-GB" w:eastAsia="en-GB"/>
    </w:rPr>
  </w:style>
  <w:style w:type="paragraph" w:customStyle="1" w:styleId="xl16838">
    <w:name w:val="xl16838"/>
    <w:basedOn w:val="Normal"/>
    <w:rsid w:val="00BF1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Verdana" w:eastAsia="Times New Roman" w:hAnsi="Verdana" w:cs="Times New Roman"/>
      <w:sz w:val="24"/>
      <w:szCs w:val="24"/>
      <w:lang w:val="en-GB" w:eastAsia="en-GB"/>
    </w:rPr>
  </w:style>
  <w:style w:type="paragraph" w:customStyle="1" w:styleId="xl16839">
    <w:name w:val="xl16839"/>
    <w:basedOn w:val="Normal"/>
    <w:rsid w:val="00BF196C"/>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Verdana" w:eastAsia="Times New Roman" w:hAnsi="Verdana" w:cs="Times New Roman"/>
      <w:b/>
      <w:bCs/>
      <w:i/>
      <w:iCs/>
      <w:sz w:val="24"/>
      <w:szCs w:val="24"/>
      <w:lang w:val="en-GB" w:eastAsia="en-GB"/>
    </w:rPr>
  </w:style>
  <w:style w:type="paragraph" w:customStyle="1" w:styleId="xl16840">
    <w:name w:val="xl16840"/>
    <w:basedOn w:val="Normal"/>
    <w:rsid w:val="00BF196C"/>
    <w:pPr>
      <w:pBdr>
        <w:bottom w:val="single" w:sz="4" w:space="0" w:color="auto"/>
      </w:pBdr>
      <w:shd w:val="clear" w:color="000000" w:fill="FFFFFF"/>
      <w:spacing w:before="100" w:beforeAutospacing="1" w:after="100" w:afterAutospacing="1" w:line="240" w:lineRule="auto"/>
      <w:textAlignment w:val="top"/>
    </w:pPr>
    <w:rPr>
      <w:rFonts w:ascii="Verdana" w:eastAsia="Times New Roman" w:hAnsi="Verdana" w:cs="Times New Roman"/>
      <w:b/>
      <w:bCs/>
      <w:i/>
      <w:iCs/>
      <w:sz w:val="24"/>
      <w:szCs w:val="24"/>
      <w:lang w:val="en-GB" w:eastAsia="en-GB"/>
    </w:rPr>
  </w:style>
  <w:style w:type="character" w:styleId="PageNumber">
    <w:name w:val="page number"/>
    <w:basedOn w:val="DefaultParagraphFont"/>
    <w:rsid w:val="00BF196C"/>
  </w:style>
  <w:style w:type="paragraph" w:styleId="NormalWeb">
    <w:name w:val="Normal (Web)"/>
    <w:basedOn w:val="Normal"/>
    <w:uiPriority w:val="99"/>
    <w:unhideWhenUsed/>
    <w:rsid w:val="00BF196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BodyText">
    <w:name w:val="Body Text"/>
    <w:basedOn w:val="Normal"/>
    <w:link w:val="BodyTextChar"/>
    <w:uiPriority w:val="99"/>
    <w:rsid w:val="00BF196C"/>
    <w:pPr>
      <w:spacing w:after="120" w:line="240" w:lineRule="auto"/>
    </w:pPr>
    <w:rPr>
      <w:rFonts w:ascii="Times New Roman" w:eastAsia="Times New Roman" w:hAnsi="Times New Roman" w:cs="Times New Roman"/>
      <w:sz w:val="24"/>
      <w:szCs w:val="24"/>
      <w:lang w:val="en-GB" w:eastAsia="de-DE"/>
    </w:rPr>
  </w:style>
  <w:style w:type="character" w:customStyle="1" w:styleId="BodyTextChar">
    <w:name w:val="Body Text Char"/>
    <w:basedOn w:val="DefaultParagraphFont"/>
    <w:link w:val="BodyText"/>
    <w:uiPriority w:val="99"/>
    <w:rsid w:val="00BF196C"/>
    <w:rPr>
      <w:rFonts w:ascii="Times New Roman" w:eastAsia="Times New Roman" w:hAnsi="Times New Roman" w:cs="Times New Roman"/>
      <w:sz w:val="24"/>
      <w:szCs w:val="24"/>
      <w:lang w:val="en-GB"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914331">
      <w:bodyDiv w:val="1"/>
      <w:marLeft w:val="0"/>
      <w:marRight w:val="0"/>
      <w:marTop w:val="0"/>
      <w:marBottom w:val="0"/>
      <w:divBdr>
        <w:top w:val="none" w:sz="0" w:space="0" w:color="auto"/>
        <w:left w:val="none" w:sz="0" w:space="0" w:color="auto"/>
        <w:bottom w:val="none" w:sz="0" w:space="0" w:color="auto"/>
        <w:right w:val="none" w:sz="0" w:space="0" w:color="auto"/>
      </w:divBdr>
    </w:div>
    <w:div w:id="153648434">
      <w:bodyDiv w:val="1"/>
      <w:marLeft w:val="0"/>
      <w:marRight w:val="0"/>
      <w:marTop w:val="0"/>
      <w:marBottom w:val="0"/>
      <w:divBdr>
        <w:top w:val="none" w:sz="0" w:space="0" w:color="auto"/>
        <w:left w:val="none" w:sz="0" w:space="0" w:color="auto"/>
        <w:bottom w:val="none" w:sz="0" w:space="0" w:color="auto"/>
        <w:right w:val="none" w:sz="0" w:space="0" w:color="auto"/>
      </w:divBdr>
    </w:div>
    <w:div w:id="219022848">
      <w:bodyDiv w:val="1"/>
      <w:marLeft w:val="0"/>
      <w:marRight w:val="0"/>
      <w:marTop w:val="0"/>
      <w:marBottom w:val="0"/>
      <w:divBdr>
        <w:top w:val="none" w:sz="0" w:space="0" w:color="auto"/>
        <w:left w:val="none" w:sz="0" w:space="0" w:color="auto"/>
        <w:bottom w:val="none" w:sz="0" w:space="0" w:color="auto"/>
        <w:right w:val="none" w:sz="0" w:space="0" w:color="auto"/>
      </w:divBdr>
    </w:div>
    <w:div w:id="272521264">
      <w:bodyDiv w:val="1"/>
      <w:marLeft w:val="0"/>
      <w:marRight w:val="0"/>
      <w:marTop w:val="0"/>
      <w:marBottom w:val="0"/>
      <w:divBdr>
        <w:top w:val="none" w:sz="0" w:space="0" w:color="auto"/>
        <w:left w:val="none" w:sz="0" w:space="0" w:color="auto"/>
        <w:bottom w:val="none" w:sz="0" w:space="0" w:color="auto"/>
        <w:right w:val="none" w:sz="0" w:space="0" w:color="auto"/>
      </w:divBdr>
    </w:div>
    <w:div w:id="334915314">
      <w:bodyDiv w:val="1"/>
      <w:marLeft w:val="0"/>
      <w:marRight w:val="0"/>
      <w:marTop w:val="0"/>
      <w:marBottom w:val="0"/>
      <w:divBdr>
        <w:top w:val="none" w:sz="0" w:space="0" w:color="auto"/>
        <w:left w:val="none" w:sz="0" w:space="0" w:color="auto"/>
        <w:bottom w:val="none" w:sz="0" w:space="0" w:color="auto"/>
        <w:right w:val="none" w:sz="0" w:space="0" w:color="auto"/>
      </w:divBdr>
    </w:div>
    <w:div w:id="372772340">
      <w:bodyDiv w:val="1"/>
      <w:marLeft w:val="0"/>
      <w:marRight w:val="0"/>
      <w:marTop w:val="0"/>
      <w:marBottom w:val="0"/>
      <w:divBdr>
        <w:top w:val="none" w:sz="0" w:space="0" w:color="auto"/>
        <w:left w:val="none" w:sz="0" w:space="0" w:color="auto"/>
        <w:bottom w:val="none" w:sz="0" w:space="0" w:color="auto"/>
        <w:right w:val="none" w:sz="0" w:space="0" w:color="auto"/>
      </w:divBdr>
    </w:div>
    <w:div w:id="381367625">
      <w:bodyDiv w:val="1"/>
      <w:marLeft w:val="0"/>
      <w:marRight w:val="0"/>
      <w:marTop w:val="0"/>
      <w:marBottom w:val="0"/>
      <w:divBdr>
        <w:top w:val="none" w:sz="0" w:space="0" w:color="auto"/>
        <w:left w:val="none" w:sz="0" w:space="0" w:color="auto"/>
        <w:bottom w:val="none" w:sz="0" w:space="0" w:color="auto"/>
        <w:right w:val="none" w:sz="0" w:space="0" w:color="auto"/>
      </w:divBdr>
    </w:div>
    <w:div w:id="414472334">
      <w:bodyDiv w:val="1"/>
      <w:marLeft w:val="0"/>
      <w:marRight w:val="0"/>
      <w:marTop w:val="0"/>
      <w:marBottom w:val="0"/>
      <w:divBdr>
        <w:top w:val="none" w:sz="0" w:space="0" w:color="auto"/>
        <w:left w:val="none" w:sz="0" w:space="0" w:color="auto"/>
        <w:bottom w:val="none" w:sz="0" w:space="0" w:color="auto"/>
        <w:right w:val="none" w:sz="0" w:space="0" w:color="auto"/>
      </w:divBdr>
    </w:div>
    <w:div w:id="795417114">
      <w:bodyDiv w:val="1"/>
      <w:marLeft w:val="0"/>
      <w:marRight w:val="0"/>
      <w:marTop w:val="0"/>
      <w:marBottom w:val="0"/>
      <w:divBdr>
        <w:top w:val="none" w:sz="0" w:space="0" w:color="auto"/>
        <w:left w:val="none" w:sz="0" w:space="0" w:color="auto"/>
        <w:bottom w:val="none" w:sz="0" w:space="0" w:color="auto"/>
        <w:right w:val="none" w:sz="0" w:space="0" w:color="auto"/>
      </w:divBdr>
    </w:div>
    <w:div w:id="980500127">
      <w:bodyDiv w:val="1"/>
      <w:marLeft w:val="0"/>
      <w:marRight w:val="0"/>
      <w:marTop w:val="0"/>
      <w:marBottom w:val="0"/>
      <w:divBdr>
        <w:top w:val="none" w:sz="0" w:space="0" w:color="auto"/>
        <w:left w:val="none" w:sz="0" w:space="0" w:color="auto"/>
        <w:bottom w:val="none" w:sz="0" w:space="0" w:color="auto"/>
        <w:right w:val="none" w:sz="0" w:space="0" w:color="auto"/>
      </w:divBdr>
    </w:div>
    <w:div w:id="1010335647">
      <w:bodyDiv w:val="1"/>
      <w:marLeft w:val="0"/>
      <w:marRight w:val="0"/>
      <w:marTop w:val="0"/>
      <w:marBottom w:val="0"/>
      <w:divBdr>
        <w:top w:val="none" w:sz="0" w:space="0" w:color="auto"/>
        <w:left w:val="none" w:sz="0" w:space="0" w:color="auto"/>
        <w:bottom w:val="none" w:sz="0" w:space="0" w:color="auto"/>
        <w:right w:val="none" w:sz="0" w:space="0" w:color="auto"/>
      </w:divBdr>
    </w:div>
    <w:div w:id="1195268899">
      <w:bodyDiv w:val="1"/>
      <w:marLeft w:val="0"/>
      <w:marRight w:val="0"/>
      <w:marTop w:val="0"/>
      <w:marBottom w:val="0"/>
      <w:divBdr>
        <w:top w:val="none" w:sz="0" w:space="0" w:color="auto"/>
        <w:left w:val="none" w:sz="0" w:space="0" w:color="auto"/>
        <w:bottom w:val="none" w:sz="0" w:space="0" w:color="auto"/>
        <w:right w:val="none" w:sz="0" w:space="0" w:color="auto"/>
      </w:divBdr>
    </w:div>
    <w:div w:id="1233353365">
      <w:bodyDiv w:val="1"/>
      <w:marLeft w:val="0"/>
      <w:marRight w:val="0"/>
      <w:marTop w:val="0"/>
      <w:marBottom w:val="0"/>
      <w:divBdr>
        <w:top w:val="none" w:sz="0" w:space="0" w:color="auto"/>
        <w:left w:val="none" w:sz="0" w:space="0" w:color="auto"/>
        <w:bottom w:val="none" w:sz="0" w:space="0" w:color="auto"/>
        <w:right w:val="none" w:sz="0" w:space="0" w:color="auto"/>
      </w:divBdr>
    </w:div>
    <w:div w:id="1378504210">
      <w:bodyDiv w:val="1"/>
      <w:marLeft w:val="0"/>
      <w:marRight w:val="0"/>
      <w:marTop w:val="0"/>
      <w:marBottom w:val="0"/>
      <w:divBdr>
        <w:top w:val="none" w:sz="0" w:space="0" w:color="auto"/>
        <w:left w:val="none" w:sz="0" w:space="0" w:color="auto"/>
        <w:bottom w:val="none" w:sz="0" w:space="0" w:color="auto"/>
        <w:right w:val="none" w:sz="0" w:space="0" w:color="auto"/>
      </w:divBdr>
    </w:div>
    <w:div w:id="1396901984">
      <w:bodyDiv w:val="1"/>
      <w:marLeft w:val="0"/>
      <w:marRight w:val="0"/>
      <w:marTop w:val="0"/>
      <w:marBottom w:val="0"/>
      <w:divBdr>
        <w:top w:val="none" w:sz="0" w:space="0" w:color="auto"/>
        <w:left w:val="none" w:sz="0" w:space="0" w:color="auto"/>
        <w:bottom w:val="none" w:sz="0" w:space="0" w:color="auto"/>
        <w:right w:val="none" w:sz="0" w:space="0" w:color="auto"/>
      </w:divBdr>
    </w:div>
    <w:div w:id="1525749890">
      <w:bodyDiv w:val="1"/>
      <w:marLeft w:val="0"/>
      <w:marRight w:val="0"/>
      <w:marTop w:val="0"/>
      <w:marBottom w:val="0"/>
      <w:divBdr>
        <w:top w:val="none" w:sz="0" w:space="0" w:color="auto"/>
        <w:left w:val="none" w:sz="0" w:space="0" w:color="auto"/>
        <w:bottom w:val="none" w:sz="0" w:space="0" w:color="auto"/>
        <w:right w:val="none" w:sz="0" w:space="0" w:color="auto"/>
      </w:divBdr>
    </w:div>
    <w:div w:id="1562397784">
      <w:bodyDiv w:val="1"/>
      <w:marLeft w:val="0"/>
      <w:marRight w:val="0"/>
      <w:marTop w:val="0"/>
      <w:marBottom w:val="0"/>
      <w:divBdr>
        <w:top w:val="none" w:sz="0" w:space="0" w:color="auto"/>
        <w:left w:val="none" w:sz="0" w:space="0" w:color="auto"/>
        <w:bottom w:val="none" w:sz="0" w:space="0" w:color="auto"/>
        <w:right w:val="none" w:sz="0" w:space="0" w:color="auto"/>
      </w:divBdr>
    </w:div>
    <w:div w:id="1615282744">
      <w:bodyDiv w:val="1"/>
      <w:marLeft w:val="0"/>
      <w:marRight w:val="0"/>
      <w:marTop w:val="0"/>
      <w:marBottom w:val="0"/>
      <w:divBdr>
        <w:top w:val="none" w:sz="0" w:space="0" w:color="auto"/>
        <w:left w:val="none" w:sz="0" w:space="0" w:color="auto"/>
        <w:bottom w:val="none" w:sz="0" w:space="0" w:color="auto"/>
        <w:right w:val="none" w:sz="0" w:space="0" w:color="auto"/>
      </w:divBdr>
    </w:div>
    <w:div w:id="1650553147">
      <w:bodyDiv w:val="1"/>
      <w:marLeft w:val="0"/>
      <w:marRight w:val="0"/>
      <w:marTop w:val="0"/>
      <w:marBottom w:val="0"/>
      <w:divBdr>
        <w:top w:val="none" w:sz="0" w:space="0" w:color="auto"/>
        <w:left w:val="none" w:sz="0" w:space="0" w:color="auto"/>
        <w:bottom w:val="none" w:sz="0" w:space="0" w:color="auto"/>
        <w:right w:val="none" w:sz="0" w:space="0" w:color="auto"/>
      </w:divBdr>
    </w:div>
    <w:div w:id="1684892186">
      <w:bodyDiv w:val="1"/>
      <w:marLeft w:val="0"/>
      <w:marRight w:val="0"/>
      <w:marTop w:val="0"/>
      <w:marBottom w:val="0"/>
      <w:divBdr>
        <w:top w:val="none" w:sz="0" w:space="0" w:color="auto"/>
        <w:left w:val="none" w:sz="0" w:space="0" w:color="auto"/>
        <w:bottom w:val="none" w:sz="0" w:space="0" w:color="auto"/>
        <w:right w:val="none" w:sz="0" w:space="0" w:color="auto"/>
      </w:divBdr>
    </w:div>
    <w:div w:id="1719665664">
      <w:bodyDiv w:val="1"/>
      <w:marLeft w:val="0"/>
      <w:marRight w:val="0"/>
      <w:marTop w:val="0"/>
      <w:marBottom w:val="0"/>
      <w:divBdr>
        <w:top w:val="none" w:sz="0" w:space="0" w:color="auto"/>
        <w:left w:val="none" w:sz="0" w:space="0" w:color="auto"/>
        <w:bottom w:val="none" w:sz="0" w:space="0" w:color="auto"/>
        <w:right w:val="none" w:sz="0" w:space="0" w:color="auto"/>
      </w:divBdr>
    </w:div>
    <w:div w:id="1737513329">
      <w:bodyDiv w:val="1"/>
      <w:marLeft w:val="0"/>
      <w:marRight w:val="0"/>
      <w:marTop w:val="0"/>
      <w:marBottom w:val="0"/>
      <w:divBdr>
        <w:top w:val="none" w:sz="0" w:space="0" w:color="auto"/>
        <w:left w:val="none" w:sz="0" w:space="0" w:color="auto"/>
        <w:bottom w:val="none" w:sz="0" w:space="0" w:color="auto"/>
        <w:right w:val="none" w:sz="0" w:space="0" w:color="auto"/>
      </w:divBdr>
    </w:div>
    <w:div w:id="1745564761">
      <w:bodyDiv w:val="1"/>
      <w:marLeft w:val="0"/>
      <w:marRight w:val="0"/>
      <w:marTop w:val="0"/>
      <w:marBottom w:val="0"/>
      <w:divBdr>
        <w:top w:val="none" w:sz="0" w:space="0" w:color="auto"/>
        <w:left w:val="none" w:sz="0" w:space="0" w:color="auto"/>
        <w:bottom w:val="none" w:sz="0" w:space="0" w:color="auto"/>
        <w:right w:val="none" w:sz="0" w:space="0" w:color="auto"/>
      </w:divBdr>
    </w:div>
    <w:div w:id="1747143887">
      <w:bodyDiv w:val="1"/>
      <w:marLeft w:val="0"/>
      <w:marRight w:val="0"/>
      <w:marTop w:val="0"/>
      <w:marBottom w:val="0"/>
      <w:divBdr>
        <w:top w:val="none" w:sz="0" w:space="0" w:color="auto"/>
        <w:left w:val="none" w:sz="0" w:space="0" w:color="auto"/>
        <w:bottom w:val="none" w:sz="0" w:space="0" w:color="auto"/>
        <w:right w:val="none" w:sz="0" w:space="0" w:color="auto"/>
      </w:divBdr>
    </w:div>
    <w:div w:id="1752772064">
      <w:bodyDiv w:val="1"/>
      <w:marLeft w:val="0"/>
      <w:marRight w:val="0"/>
      <w:marTop w:val="0"/>
      <w:marBottom w:val="0"/>
      <w:divBdr>
        <w:top w:val="none" w:sz="0" w:space="0" w:color="auto"/>
        <w:left w:val="none" w:sz="0" w:space="0" w:color="auto"/>
        <w:bottom w:val="none" w:sz="0" w:space="0" w:color="auto"/>
        <w:right w:val="none" w:sz="0" w:space="0" w:color="auto"/>
      </w:divBdr>
    </w:div>
    <w:div w:id="1947079406">
      <w:bodyDiv w:val="1"/>
      <w:marLeft w:val="0"/>
      <w:marRight w:val="0"/>
      <w:marTop w:val="0"/>
      <w:marBottom w:val="0"/>
      <w:divBdr>
        <w:top w:val="none" w:sz="0" w:space="0" w:color="auto"/>
        <w:left w:val="none" w:sz="0" w:space="0" w:color="auto"/>
        <w:bottom w:val="none" w:sz="0" w:space="0" w:color="auto"/>
        <w:right w:val="none" w:sz="0" w:space="0" w:color="auto"/>
      </w:divBdr>
    </w:div>
    <w:div w:id="1970552179">
      <w:bodyDiv w:val="1"/>
      <w:marLeft w:val="0"/>
      <w:marRight w:val="0"/>
      <w:marTop w:val="0"/>
      <w:marBottom w:val="0"/>
      <w:divBdr>
        <w:top w:val="none" w:sz="0" w:space="0" w:color="auto"/>
        <w:left w:val="none" w:sz="0" w:space="0" w:color="auto"/>
        <w:bottom w:val="none" w:sz="0" w:space="0" w:color="auto"/>
        <w:right w:val="none" w:sz="0" w:space="0" w:color="auto"/>
      </w:divBdr>
    </w:div>
    <w:div w:id="1980768833">
      <w:bodyDiv w:val="1"/>
      <w:marLeft w:val="0"/>
      <w:marRight w:val="0"/>
      <w:marTop w:val="0"/>
      <w:marBottom w:val="0"/>
      <w:divBdr>
        <w:top w:val="none" w:sz="0" w:space="0" w:color="auto"/>
        <w:left w:val="none" w:sz="0" w:space="0" w:color="auto"/>
        <w:bottom w:val="none" w:sz="0" w:space="0" w:color="auto"/>
        <w:right w:val="none" w:sz="0" w:space="0" w:color="auto"/>
      </w:divBdr>
    </w:div>
    <w:div w:id="1988434159">
      <w:bodyDiv w:val="1"/>
      <w:marLeft w:val="0"/>
      <w:marRight w:val="0"/>
      <w:marTop w:val="0"/>
      <w:marBottom w:val="0"/>
      <w:divBdr>
        <w:top w:val="none" w:sz="0" w:space="0" w:color="auto"/>
        <w:left w:val="none" w:sz="0" w:space="0" w:color="auto"/>
        <w:bottom w:val="none" w:sz="0" w:space="0" w:color="auto"/>
        <w:right w:val="none" w:sz="0" w:space="0" w:color="auto"/>
      </w:divBdr>
    </w:div>
    <w:div w:id="2118787795">
      <w:bodyDiv w:val="1"/>
      <w:marLeft w:val="0"/>
      <w:marRight w:val="0"/>
      <w:marTop w:val="0"/>
      <w:marBottom w:val="0"/>
      <w:divBdr>
        <w:top w:val="none" w:sz="0" w:space="0" w:color="auto"/>
        <w:left w:val="none" w:sz="0" w:space="0" w:color="auto"/>
        <w:bottom w:val="none" w:sz="0" w:space="0" w:color="auto"/>
        <w:right w:val="none" w:sz="0" w:space="0" w:color="auto"/>
      </w:divBdr>
    </w:div>
    <w:div w:id="2134320768">
      <w:bodyDiv w:val="1"/>
      <w:marLeft w:val="0"/>
      <w:marRight w:val="0"/>
      <w:marTop w:val="0"/>
      <w:marBottom w:val="0"/>
      <w:divBdr>
        <w:top w:val="none" w:sz="0" w:space="0" w:color="auto"/>
        <w:left w:val="none" w:sz="0" w:space="0" w:color="auto"/>
        <w:bottom w:val="none" w:sz="0" w:space="0" w:color="auto"/>
        <w:right w:val="none" w:sz="0" w:space="0" w:color="auto"/>
      </w:divBdr>
    </w:div>
    <w:div w:id="2141920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4.emf"/><Relationship Id="rId21" Type="http://schemas.openxmlformats.org/officeDocument/2006/relationships/image" Target="media/image9.emf"/><Relationship Id="rId42" Type="http://schemas.openxmlformats.org/officeDocument/2006/relationships/image" Target="media/image30.emf"/><Relationship Id="rId47" Type="http://schemas.openxmlformats.org/officeDocument/2006/relationships/image" Target="media/image35.emf"/><Relationship Id="rId63" Type="http://schemas.openxmlformats.org/officeDocument/2006/relationships/image" Target="media/image51.emf"/><Relationship Id="rId68" Type="http://schemas.openxmlformats.org/officeDocument/2006/relationships/header" Target="header3.xml"/><Relationship Id="rId7" Type="http://schemas.openxmlformats.org/officeDocument/2006/relationships/numbering" Target="numbering.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emf"/><Relationship Id="rId29" Type="http://schemas.openxmlformats.org/officeDocument/2006/relationships/image" Target="media/image17.emf"/><Relationship Id="rId11" Type="http://schemas.openxmlformats.org/officeDocument/2006/relationships/footnotes" Target="footnotes.xml"/><Relationship Id="rId24" Type="http://schemas.openxmlformats.org/officeDocument/2006/relationships/image" Target="media/image12.emf"/><Relationship Id="rId32" Type="http://schemas.openxmlformats.org/officeDocument/2006/relationships/image" Target="media/image20.emf"/><Relationship Id="rId37" Type="http://schemas.openxmlformats.org/officeDocument/2006/relationships/image" Target="media/image25.emf"/><Relationship Id="rId40" Type="http://schemas.openxmlformats.org/officeDocument/2006/relationships/image" Target="media/image28.emf"/><Relationship Id="rId45" Type="http://schemas.openxmlformats.org/officeDocument/2006/relationships/image" Target="media/image33.emf"/><Relationship Id="rId53" Type="http://schemas.openxmlformats.org/officeDocument/2006/relationships/image" Target="media/image41.emf"/><Relationship Id="rId58" Type="http://schemas.openxmlformats.org/officeDocument/2006/relationships/image" Target="media/image46.emf"/><Relationship Id="rId66" Type="http://schemas.openxmlformats.org/officeDocument/2006/relationships/footer" Target="footer1.xml"/><Relationship Id="rId5" Type="http://schemas.openxmlformats.org/officeDocument/2006/relationships/customXml" Target="../customXml/item5.xml"/><Relationship Id="rId61" Type="http://schemas.openxmlformats.org/officeDocument/2006/relationships/image" Target="media/image49.emf"/><Relationship Id="rId82" Type="http://schemas.openxmlformats.org/officeDocument/2006/relationships/customXml" Target="../customXml/item7.xml"/><Relationship Id="rId19" Type="http://schemas.openxmlformats.org/officeDocument/2006/relationships/image" Target="media/image7.emf"/><Relationship Id="rId14" Type="http://schemas.openxmlformats.org/officeDocument/2006/relationships/image" Target="media/image2.emf"/><Relationship Id="rId22" Type="http://schemas.openxmlformats.org/officeDocument/2006/relationships/image" Target="media/image10.emf"/><Relationship Id="rId27" Type="http://schemas.openxmlformats.org/officeDocument/2006/relationships/image" Target="media/image15.emf"/><Relationship Id="rId30" Type="http://schemas.openxmlformats.org/officeDocument/2006/relationships/image" Target="media/image18.emf"/><Relationship Id="rId35" Type="http://schemas.openxmlformats.org/officeDocument/2006/relationships/image" Target="media/image23.emf"/><Relationship Id="rId43" Type="http://schemas.openxmlformats.org/officeDocument/2006/relationships/image" Target="media/image31.emf"/><Relationship Id="rId48" Type="http://schemas.openxmlformats.org/officeDocument/2006/relationships/image" Target="media/image36.emf"/><Relationship Id="rId56" Type="http://schemas.openxmlformats.org/officeDocument/2006/relationships/image" Target="media/image44.emf"/><Relationship Id="rId64" Type="http://schemas.openxmlformats.org/officeDocument/2006/relationships/header" Target="header1.xml"/><Relationship Id="rId69" Type="http://schemas.openxmlformats.org/officeDocument/2006/relationships/footer" Target="footer3.xml"/><Relationship Id="rId8" Type="http://schemas.openxmlformats.org/officeDocument/2006/relationships/styles" Target="styles.xml"/><Relationship Id="rId51" Type="http://schemas.openxmlformats.org/officeDocument/2006/relationships/image" Target="media/image39.emf"/><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5.emf"/><Relationship Id="rId25" Type="http://schemas.openxmlformats.org/officeDocument/2006/relationships/image" Target="media/image13.emf"/><Relationship Id="rId33" Type="http://schemas.openxmlformats.org/officeDocument/2006/relationships/image" Target="media/image21.emf"/><Relationship Id="rId38" Type="http://schemas.openxmlformats.org/officeDocument/2006/relationships/image" Target="media/image26.emf"/><Relationship Id="rId46" Type="http://schemas.openxmlformats.org/officeDocument/2006/relationships/image" Target="media/image34.emf"/><Relationship Id="rId59" Type="http://schemas.openxmlformats.org/officeDocument/2006/relationships/image" Target="media/image47.emf"/><Relationship Id="rId67" Type="http://schemas.openxmlformats.org/officeDocument/2006/relationships/footer" Target="footer2.xml"/><Relationship Id="rId20" Type="http://schemas.openxmlformats.org/officeDocument/2006/relationships/image" Target="media/image8.emf"/><Relationship Id="rId41" Type="http://schemas.openxmlformats.org/officeDocument/2006/relationships/image" Target="media/image29.emf"/><Relationship Id="rId54" Type="http://schemas.openxmlformats.org/officeDocument/2006/relationships/image" Target="media/image42.emf"/><Relationship Id="rId62" Type="http://schemas.openxmlformats.org/officeDocument/2006/relationships/image" Target="media/image50.emf"/><Relationship Id="rId70" Type="http://schemas.openxmlformats.org/officeDocument/2006/relationships/fontTable" Target="fontTable.xml"/><Relationship Id="rId6" Type="http://schemas.openxmlformats.org/officeDocument/2006/relationships/customXml" Target="../customXml/item6.xml"/><Relationship Id="rId15" Type="http://schemas.openxmlformats.org/officeDocument/2006/relationships/image" Target="media/image3.emf"/><Relationship Id="rId23" Type="http://schemas.openxmlformats.org/officeDocument/2006/relationships/image" Target="media/image11.emf"/><Relationship Id="rId28" Type="http://schemas.openxmlformats.org/officeDocument/2006/relationships/image" Target="media/image16.emf"/><Relationship Id="rId36" Type="http://schemas.openxmlformats.org/officeDocument/2006/relationships/image" Target="media/image24.emf"/><Relationship Id="rId49" Type="http://schemas.openxmlformats.org/officeDocument/2006/relationships/image" Target="media/image37.emf"/><Relationship Id="rId57" Type="http://schemas.openxmlformats.org/officeDocument/2006/relationships/image" Target="media/image45.emf"/><Relationship Id="rId10" Type="http://schemas.openxmlformats.org/officeDocument/2006/relationships/webSettings" Target="webSettings.xml"/><Relationship Id="rId31" Type="http://schemas.openxmlformats.org/officeDocument/2006/relationships/image" Target="media/image19.emf"/><Relationship Id="rId44" Type="http://schemas.openxmlformats.org/officeDocument/2006/relationships/image" Target="media/image32.emf"/><Relationship Id="rId52" Type="http://schemas.openxmlformats.org/officeDocument/2006/relationships/image" Target="media/image40.emf"/><Relationship Id="rId60" Type="http://schemas.openxmlformats.org/officeDocument/2006/relationships/image" Target="media/image48.emf"/><Relationship Id="rId65" Type="http://schemas.openxmlformats.org/officeDocument/2006/relationships/header" Target="header2.xml"/><Relationship Id="rId81" Type="http://schemas.microsoft.com/office/2016/09/relationships/commentsIds" Target="commentsIds.xml"/><Relationship Id="rId9" Type="http://schemas.openxmlformats.org/officeDocument/2006/relationships/settings" Target="settings.xml"/><Relationship Id="rId13" Type="http://schemas.openxmlformats.org/officeDocument/2006/relationships/image" Target="media/image1.jpeg"/><Relationship Id="rId18" Type="http://schemas.openxmlformats.org/officeDocument/2006/relationships/image" Target="media/image6.emf"/><Relationship Id="rId39" Type="http://schemas.openxmlformats.org/officeDocument/2006/relationships/image" Target="media/image27.emf"/><Relationship Id="rId34" Type="http://schemas.openxmlformats.org/officeDocument/2006/relationships/image" Target="media/image22.emf"/><Relationship Id="rId50" Type="http://schemas.openxmlformats.org/officeDocument/2006/relationships/image" Target="media/image38.emf"/><Relationship Id="rId55" Type="http://schemas.openxmlformats.org/officeDocument/2006/relationships/image" Target="media/image43.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Urls xmlns="http://schemas.microsoft.com/sharepoint/v3/contenttype/forms/url">
  <MobileDisplay>_layouts/15/NintexForms/Mobile/DispForm.aspx</MobileDisplay>
  <MobileEdit>_layouts/15/NintexForms/Mobile/EditForm.aspx</MobileEdit>
  <MobileNew>_layouts/15/NintexForms/Mobile/NewForm.aspx</MobileNew>
</FormUrls>
</file>

<file path=customXml/item2.xml><?xml version="1.0" encoding="utf-8"?>
<p:properties xmlns:p="http://schemas.microsoft.com/office/2006/metadata/properties" xmlns:xsi="http://www.w3.org/2001/XMLSchema-instance" xmlns:pc="http://schemas.microsoft.com/office/infopath/2007/PartnerControls">
  <documentManagement>
    <Publication_x0020_Date xmlns="2b395ac2-8163-4b1c-b2c0-fcf6a8d6604b" xsi:nil="true"/>
    <b687f5c370784be381b55f490b18f6b4 xmlns="46cf5d05-017c-4f03-b1f6-893edf8c1825" xsi:nil="true"/>
    <StartDate xmlns="http://schemas.microsoft.com/sharepoint/v3">2018-07-18T15:12:00+00:00</StartDate>
    <e3b8259dbd224628b8b94cebb83fde6b xmlns="46cf5d05-017c-4f03-b1f6-893edf8c1825" xsi:nil="true"/>
    <m4e5b9a57ee34142859f8aa69e31e7bd xmlns="46cf5d05-017c-4f03-b1f6-893edf8c1825" xsi:nil="true"/>
    <TaxCatchAll xmlns="ab8f74c7-0748-4175-b0a7-798791edd7a4"/>
    <m303bdcee8174b2eb036ac305aa5a282 xmlns="ab8f74c7-0748-4175-b0a7-798791edd7a4">
      <Terms xmlns="http://schemas.microsoft.com/office/infopath/2007/PartnerControls"/>
    </m303bdcee8174b2eb036ac305aa5a282>
    <bc77dcd2bf4f4077b5153d8986ab7c79 xmlns="ab8f74c7-0748-4175-b0a7-798791edd7a4">
      <Terms xmlns="http://schemas.microsoft.com/office/infopath/2007/PartnerControls"/>
    </bc77dcd2bf4f4077b5153d8986ab7c79>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FormTemplates xmlns="http://schemas.microsoft.com/sharepoint/v3/contenttype/forms">
  <Display>NFListDisplayForm</Display>
  <Edit>NFListEditForm</Edit>
  <New>NFListEditForm</New>
</FormTemplates>
</file>

<file path=customXml/item5.xml><?xml version="1.0" encoding="utf-8"?>
<ct:contentTypeSchema xmlns:ct="http://schemas.microsoft.com/office/2006/metadata/contentType" xmlns:ma="http://schemas.microsoft.com/office/2006/metadata/properties/metaAttributes" ct:_="" ma:_="" ma:contentTypeName="Publication Document" ma:contentTypeID="0x010100F025371A0D5F1846930DBA2C9EDAF56600AFC9069F21C440458F2314C115976576" ma:contentTypeVersion="11" ma:contentTypeDescription="Create a new document." ma:contentTypeScope="" ma:versionID="6e209b6a576250e7fc5b8ecf72f2839e">
  <xsd:schema xmlns:xsd="http://www.w3.org/2001/XMLSchema" xmlns:xs="http://www.w3.org/2001/XMLSchema" xmlns:p="http://schemas.microsoft.com/office/2006/metadata/properties" xmlns:ns1="http://schemas.microsoft.com/sharepoint/v3" xmlns:ns2="ab8f74c7-0748-4175-b0a7-798791edd7a4" xmlns:ns3="46cf5d05-017c-4f03-b1f6-893edf8c1825" xmlns:ns4="2b395ac2-8163-4b1c-b2c0-fcf6a8d6604b" targetNamespace="http://schemas.microsoft.com/office/2006/metadata/properties" ma:root="true" ma:fieldsID="fbf1aeb962f0084c7fe7eb88515c8747" ns1:_="" ns2:_="" ns3:_="" ns4:_="">
    <xsd:import namespace="http://schemas.microsoft.com/sharepoint/v3"/>
    <xsd:import namespace="ab8f74c7-0748-4175-b0a7-798791edd7a4"/>
    <xsd:import namespace="46cf5d05-017c-4f03-b1f6-893edf8c1825"/>
    <xsd:import namespace="2b395ac2-8163-4b1c-b2c0-fcf6a8d6604b"/>
    <xsd:element name="properties">
      <xsd:complexType>
        <xsd:sequence>
          <xsd:element name="documentManagement">
            <xsd:complexType>
              <xsd:all>
                <xsd:element ref="ns2:TaxCatchAll" minOccurs="0"/>
                <xsd:element ref="ns2:TaxCatchAllLabel" minOccurs="0"/>
                <xsd:element ref="ns3:m4e5b9a57ee34142859f8aa69e31e7bd" minOccurs="0"/>
                <xsd:element ref="ns3:e3b8259dbd224628b8b94cebb83fde6b" minOccurs="0"/>
                <xsd:element ref="ns3:b687f5c370784be381b55f490b18f6b4" minOccurs="0"/>
                <xsd:element ref="ns4:Publication_x0020_Date" minOccurs="0"/>
                <xsd:element ref="ns1:StartDate" minOccurs="0"/>
                <xsd:element ref="ns3:SharedWithUsers" minOccurs="0"/>
                <xsd:element ref="ns2:bc77dcd2bf4f4077b5153d8986ab7c79" minOccurs="0"/>
                <xsd:element ref="ns2:m303bdcee8174b2eb036ac305aa5a28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tartDate" ma:index="17" nillable="true" ma:displayName="Start Date" ma:default="[today]" ma:format="DateTime" ma:internalName="Start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b8f74c7-0748-4175-b0a7-798791edd7a4"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df6c9081-745a-4c96-a42a-40c5dedd0e67}" ma:internalName="TaxCatchAll" ma:showField="CatchAllData" ma:web="46cf5d05-017c-4f03-b1f6-893edf8c1825">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df6c9081-745a-4c96-a42a-40c5dedd0e67}" ma:internalName="TaxCatchAllLabel" ma:readOnly="true" ma:showField="CatchAllDataLabel" ma:web="46cf5d05-017c-4f03-b1f6-893edf8c1825">
      <xsd:complexType>
        <xsd:complexContent>
          <xsd:extension base="dms:MultiChoiceLookup">
            <xsd:sequence>
              <xsd:element name="Value" type="dms:Lookup" maxOccurs="unbounded" minOccurs="0" nillable="true"/>
            </xsd:sequence>
          </xsd:extension>
        </xsd:complexContent>
      </xsd:complexType>
    </xsd:element>
    <xsd:element name="bc77dcd2bf4f4077b5153d8986ab7c79" ma:index="20" nillable="true" ma:taxonomy="true" ma:internalName="bc77dcd2bf4f4077b5153d8986ab7c79" ma:taxonomyFieldName="ERISDocumentType" ma:displayName="Document Type" ma:default="" ma:fieldId="{bc77dcd2-bf4f-4077-b515-3d8986ab7c79}" ma:sspId="2b1776d1-ae3b-49f8-a97b-1474fa7fa346" ma:termSetId="8291263e-1670-46c0-b090-f3efb02d9c12" ma:anchorId="00000000-0000-0000-0000-000000000000" ma:open="false" ma:isKeyword="false">
      <xsd:complexType>
        <xsd:sequence>
          <xsd:element ref="pc:Terms" minOccurs="0" maxOccurs="1"/>
        </xsd:sequence>
      </xsd:complexType>
    </xsd:element>
    <xsd:element name="m303bdcee8174b2eb036ac305aa5a282" ma:index="22" nillable="true" ma:taxonomy="true" ma:internalName="m303bdcee8174b2eb036ac305aa5a282" ma:taxonomyFieldName="ERISKeywords" ma:displayName="Tags and Keywords" ma:default="" ma:fieldId="{6303bdce-e817-4b2e-b036-ac305aa5a282}" ma:taxonomyMulti="true" ma:sspId="2b1776d1-ae3b-49f8-a97b-1474fa7fa346" ma:termSetId="041e8d27-50b6-44df-be8e-d4aba88ea6e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6cf5d05-017c-4f03-b1f6-893edf8c1825" elementFormDefault="qualified">
    <xsd:import namespace="http://schemas.microsoft.com/office/2006/documentManagement/types"/>
    <xsd:import namespace="http://schemas.microsoft.com/office/infopath/2007/PartnerControls"/>
    <xsd:element name="m4e5b9a57ee34142859f8aa69e31e7bd" ma:index="10" nillable="true" ma:displayName="Document Type_0" ma:hidden="true" ma:internalName="m4e5b9a57ee34142859f8aa69e31e7bd">
      <xsd:simpleType>
        <xsd:restriction base="dms:Note"/>
      </xsd:simpleType>
    </xsd:element>
    <xsd:element name="e3b8259dbd224628b8b94cebb83fde6b" ma:index="12" nillable="true" ma:displayName="Document Topic_0" ma:hidden="true" ma:internalName="e3b8259dbd224628b8b94cebb83fde6b">
      <xsd:simpleType>
        <xsd:restriction base="dms:Note"/>
      </xsd:simpleType>
    </xsd:element>
    <xsd:element name="b687f5c370784be381b55f490b18f6b4" ma:index="14" nillable="true" ma:displayName="Involved Party_0" ma:hidden="true" ma:internalName="b687f5c370784be381b55f490b18f6b4">
      <xsd:simpleType>
        <xsd:restriction base="dms:Note"/>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b395ac2-8163-4b1c-b2c0-fcf6a8d6604b" elementFormDefault="qualified">
    <xsd:import namespace="http://schemas.microsoft.com/office/2006/documentManagement/types"/>
    <xsd:import namespace="http://schemas.microsoft.com/office/infopath/2007/PartnerControls"/>
    <xsd:element name="Publication_x0020_Date" ma:index="16" nillable="true" ma:displayName="Publication Date" ma:format="DateOnly" ma:internalName="Publication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SharedContentType xmlns="Microsoft.SharePoint.Taxonomy.ContentTypeSync" SourceId="2b1776d1-ae3b-49f8-a97b-1474fa7fa346" ContentTypeId="0x0101" PreviousValue="false"/>
</file>

<file path=customXml/itemProps1.xml><?xml version="1.0" encoding="utf-8"?>
<ds:datastoreItem xmlns:ds="http://schemas.openxmlformats.org/officeDocument/2006/customXml" ds:itemID="{F84D1BAE-E5CC-4ACC-81CD-C1B2C546D05C}">
  <ds:schemaRefs>
    <ds:schemaRef ds:uri="http://schemas.microsoft.com/sharepoint/v3/contenttype/forms/url"/>
  </ds:schemaRefs>
</ds:datastoreItem>
</file>

<file path=customXml/itemProps2.xml><?xml version="1.0" encoding="utf-8"?>
<ds:datastoreItem xmlns:ds="http://schemas.openxmlformats.org/officeDocument/2006/customXml" ds:itemID="{EF5269CE-767E-42B2-B495-670B706531A5}">
  <ds:schemaRefs>
    <ds:schemaRef ds:uri="http://schemas.microsoft.com/office/2006/metadata/properties"/>
    <ds:schemaRef ds:uri="http://schemas.microsoft.com/office/infopath/2007/PartnerControls"/>
    <ds:schemaRef ds:uri="75d1354c-e957-4f1b-9bb3-f2c3d17a9323"/>
    <ds:schemaRef ds:uri="http://schemas.microsoft.com/sharepoint/v3"/>
  </ds:schemaRefs>
</ds:datastoreItem>
</file>

<file path=customXml/itemProps3.xml><?xml version="1.0" encoding="utf-8"?>
<ds:datastoreItem xmlns:ds="http://schemas.openxmlformats.org/officeDocument/2006/customXml" ds:itemID="{3764C509-B646-4AF0-91CE-B69DF09DAB62}"/>
</file>

<file path=customXml/itemProps4.xml><?xml version="1.0" encoding="utf-8"?>
<ds:datastoreItem xmlns:ds="http://schemas.openxmlformats.org/officeDocument/2006/customXml" ds:itemID="{27842BD8-EC92-4D8B-8571-2F78454F6EF8}">
  <ds:schemaRefs>
    <ds:schemaRef ds:uri="http://schemas.microsoft.com/sharepoint/v3/contenttype/forms"/>
  </ds:schemaRefs>
</ds:datastoreItem>
</file>

<file path=customXml/itemProps5.xml><?xml version="1.0" encoding="utf-8"?>
<ds:datastoreItem xmlns:ds="http://schemas.openxmlformats.org/officeDocument/2006/customXml" ds:itemID="{14F4CF84-8FF4-4AEB-B81A-78F76030446F}"/>
</file>

<file path=customXml/itemProps6.xml><?xml version="1.0" encoding="utf-8"?>
<ds:datastoreItem xmlns:ds="http://schemas.openxmlformats.org/officeDocument/2006/customXml" ds:itemID="{9739DB24-F422-430E-84B0-3064F391A016}">
  <ds:schemaRefs>
    <ds:schemaRef ds:uri="http://schemas.openxmlformats.org/officeDocument/2006/bibliography"/>
  </ds:schemaRefs>
</ds:datastoreItem>
</file>

<file path=customXml/itemProps7.xml><?xml version="1.0" encoding="utf-8"?>
<ds:datastoreItem xmlns:ds="http://schemas.openxmlformats.org/officeDocument/2006/customXml" ds:itemID="{5EEDCFB4-69DC-466F-97B8-01A994195A02}"/>
</file>

<file path=docProps/app.xml><?xml version="1.0" encoding="utf-8"?>
<Properties xmlns="http://schemas.openxmlformats.org/officeDocument/2006/extended-properties" xmlns:vt="http://schemas.openxmlformats.org/officeDocument/2006/docPropsVTypes">
  <Template>Normal</Template>
  <TotalTime>1</TotalTime>
  <Pages>1</Pages>
  <Words>14574</Words>
  <Characters>83075</Characters>
  <Application>Microsoft Office Word</Application>
  <DocSecurity>0</DocSecurity>
  <Lines>692</Lines>
  <Paragraphs>194</Paragraphs>
  <ScaleCrop>false</ScaleCrop>
  <HeadingPairs>
    <vt:vector size="10" baseType="variant">
      <vt:variant>
        <vt:lpstr>Title</vt:lpstr>
      </vt:variant>
      <vt:variant>
        <vt:i4>1</vt:i4>
      </vt:variant>
      <vt:variant>
        <vt:lpstr>Título</vt:lpstr>
      </vt:variant>
      <vt:variant>
        <vt:i4>1</vt:i4>
      </vt:variant>
      <vt:variant>
        <vt:lpstr>Titel</vt:lpstr>
      </vt:variant>
      <vt:variant>
        <vt:i4>1</vt:i4>
      </vt:variant>
      <vt:variant>
        <vt:lpstr>Tytuł</vt:lpstr>
      </vt:variant>
      <vt:variant>
        <vt:i4>1</vt:i4>
      </vt:variant>
      <vt:variant>
        <vt:lpstr>Titre</vt:lpstr>
      </vt:variant>
      <vt:variant>
        <vt:i4>1</vt:i4>
      </vt:variant>
    </vt:vector>
  </HeadingPairs>
  <TitlesOfParts>
    <vt:vector size="5" baseType="lpstr">
      <vt:lpstr>EIOPA Explanatory notes on VA templates</vt:lpstr>
      <vt:lpstr>EIOPA Explanatory notes on VA templates 20171018</vt:lpstr>
      <vt:lpstr/>
      <vt:lpstr/>
      <vt:lpstr/>
    </vt:vector>
  </TitlesOfParts>
  <Company>Banque de France</Company>
  <LinksUpToDate>false</LinksUpToDate>
  <CharactersWithSpaces>97455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EIOPA Explanatory notes on VA templates</dc:title>
  <dc:creator>Ariane Flament</dc:creator>
  <cp:lastModifiedBy>Dessislava Doncheva</cp:lastModifiedBy>
  <cp:revision>2</cp:revision>
  <cp:lastPrinted>2018-02-07T09:21:00Z</cp:lastPrinted>
  <dcterms:created xsi:type="dcterms:W3CDTF">2018-07-18T09:57:00Z</dcterms:created>
  <dcterms:modified xsi:type="dcterms:W3CDTF">2018-07-18T09:57:00Z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0x010100F025371A0D5F1846930DBA2C9EDAF56600AFC9069F21C440458F2314C115976576</vt:lpwstr>
  </property>
  <property fmtid="{D5CDD505-2E9C-101B-9397-08002B2CF9AE}" pid="3" name="_NewReviewCycle">
    <vt:lpwstr/>
  </property>
  <property fmtid="{D5CDD505-2E9C-101B-9397-08002B2CF9AE}" pid="4" name="ERIS_Keywords">
    <vt:lpwstr>64;#Expert Network 3 - Information|a183062a-e223-4548-ada0-c8f641149129;#170;#Reporting|2fba99ec-c2b5-4a60-8553-9e13503fcac6</vt:lpwstr>
  </property>
  <property fmtid="{D5CDD505-2E9C-101B-9397-08002B2CF9AE}" pid="5" name="ERIS_Board/Committee">
    <vt:lpwstr>63;#Expert Network 3 - Information|445c11f7-0287-49a4-8e9b-a580e9d73502</vt:lpwstr>
  </property>
  <property fmtid="{D5CDD505-2E9C-101B-9397-08002B2CF9AE}" pid="6" name="ERIS_Department">
    <vt:lpwstr>23;#Supervisory Processes Department|3a9db3ad-f1a2-49c0-8c29-af39c608fb30</vt:lpwstr>
  </property>
  <property fmtid="{D5CDD505-2E9C-101B-9397-08002B2CF9AE}" pid="7" name="ERIS_DocumentType">
    <vt:lpwstr>106;#Publication|677d26b6-0376-4766-ab1d-f8a0da87090c</vt:lpwstr>
  </property>
  <property fmtid="{D5CDD505-2E9C-101B-9397-08002B2CF9AE}" pid="8" name="ERIS_LeadDepartment">
    <vt:lpwstr>23;#Supervisory Processes Department|3a9db3ad-f1a2-49c0-8c29-af39c608fb30</vt:lpwstr>
  </property>
  <property fmtid="{D5CDD505-2E9C-101B-9397-08002B2CF9AE}" pid="9" name="ERIS_Language">
    <vt:lpwstr>5;#English|2741a941-2920-4ba4-aa70-d8ed6ac1785d</vt:lpwstr>
  </property>
  <property fmtid="{D5CDD505-2E9C-101B-9397-08002B2CF9AE}" pid="10" name="URL">
    <vt:lpwstr/>
  </property>
  <property fmtid="{D5CDD505-2E9C-101B-9397-08002B2CF9AE}" pid="11" name="DocumentSetDescription">
    <vt:lpwstr/>
  </property>
  <property fmtid="{D5CDD505-2E9C-101B-9397-08002B2CF9AE}" pid="12" name="ERIS_BCC">
    <vt:lpwstr/>
  </property>
  <property fmtid="{D5CDD505-2E9C-101B-9397-08002B2CF9AE}" pid="13" name="ERIS_CC">
    <vt:lpwstr/>
  </property>
  <property fmtid="{D5CDD505-2E9C-101B-9397-08002B2CF9AE}" pid="14" name="ERIS_To">
    <vt:lpwstr/>
  </property>
  <property fmtid="{D5CDD505-2E9C-101B-9397-08002B2CF9AE}" pid="15" name="ERIS_Subject">
    <vt:lpwstr/>
  </property>
  <property fmtid="{D5CDD505-2E9C-101B-9397-08002B2CF9AE}" pid="16" name="ERIS_From">
    <vt:lpwstr/>
  </property>
  <property fmtid="{D5CDD505-2E9C-101B-9397-08002B2CF9AE}" pid="17" name="RecordPoint_WorkflowType">
    <vt:lpwstr>ActiveSubmitStub</vt:lpwstr>
  </property>
  <property fmtid="{D5CDD505-2E9C-101B-9397-08002B2CF9AE}" pid="18" name="RecordPoint_ActiveItemWebId">
    <vt:lpwstr>{a58aee98-f1ae-43bc-82f0-da2919d92daa}</vt:lpwstr>
  </property>
  <property fmtid="{D5CDD505-2E9C-101B-9397-08002B2CF9AE}" pid="19" name="RecordPoint_ActiveItemSiteId">
    <vt:lpwstr>{acb94fd5-da3c-4886-a5d9-57078145baae}</vt:lpwstr>
  </property>
  <property fmtid="{D5CDD505-2E9C-101B-9397-08002B2CF9AE}" pid="20" name="RecordPoint_ActiveItemListId">
    <vt:lpwstr>{027595e1-83d2-42a6-b61e-724f8c603a00}</vt:lpwstr>
  </property>
  <property fmtid="{D5CDD505-2E9C-101B-9397-08002B2CF9AE}" pid="21" name="RecordPoint_ActiveItemUniqueId">
    <vt:lpwstr>{72996bf8-d40a-4c2c-8ea9-99e31eab07fe}</vt:lpwstr>
  </property>
  <property fmtid="{D5CDD505-2E9C-101B-9397-08002B2CF9AE}" pid="22" name="RecordPoint_RecordNumberSubmitted">
    <vt:lpwstr>EIOPA(2018)0299993</vt:lpwstr>
  </property>
  <property fmtid="{D5CDD505-2E9C-101B-9397-08002B2CF9AE}" pid="23" name="RecordPoint_SubmissionCompleted">
    <vt:lpwstr>2018-07-11T12:30:22.9216271+02:00</vt:lpwstr>
  </property>
  <property fmtid="{D5CDD505-2E9C-101B-9397-08002B2CF9AE}" pid="24" name="ERIS_MeetingDate">
    <vt:filetime>2017-11-07T23:00:00Z</vt:filetime>
  </property>
  <property fmtid="{D5CDD505-2E9C-101B-9397-08002B2CF9AE}" pid="25" name="ERIS_MeetingType">
    <vt:lpwstr>Telco</vt:lpwstr>
  </property>
  <property fmtid="{D5CDD505-2E9C-101B-9397-08002B2CF9AE}" pid="26" name="RecordPoint_SubmissionDate">
    <vt:lpwstr/>
  </property>
  <property fmtid="{D5CDD505-2E9C-101B-9397-08002B2CF9AE}" pid="27" name="RecordPoint_RecordFormat">
    <vt:lpwstr/>
  </property>
  <property fmtid="{D5CDD505-2E9C-101B-9397-08002B2CF9AE}" pid="28" name="RecordPoint_ActiveItemMoved">
    <vt:lpwstr/>
  </property>
  <property fmtid="{D5CDD505-2E9C-101B-9397-08002B2CF9AE}" pid="29" name="_AdHocReviewCycleID">
    <vt:i4>1743300827</vt:i4>
  </property>
  <property fmtid="{D5CDD505-2E9C-101B-9397-08002B2CF9AE}" pid="30" name="_EmailSubject">
    <vt:lpwstr>BoS WP (approval) Reporting and Disclosure ITS annual correction and Explanatory Notes on Variation Analysis templates</vt:lpwstr>
  </property>
  <property fmtid="{D5CDD505-2E9C-101B-9397-08002B2CF9AE}" pid="31" name="_AuthorEmail">
    <vt:lpwstr>Dessislava.Doncheva@eiopa.europa.eu</vt:lpwstr>
  </property>
  <property fmtid="{D5CDD505-2E9C-101B-9397-08002B2CF9AE}" pid="32" name="_AuthorEmailDisplayName">
    <vt:lpwstr>Dessislava Doncheva</vt:lpwstr>
  </property>
  <property fmtid="{D5CDD505-2E9C-101B-9397-08002B2CF9AE}" pid="33" name="_PreviousAdHocReviewCycleID">
    <vt:i4>-1273531363</vt:i4>
  </property>
  <property fmtid="{D5CDD505-2E9C-101B-9397-08002B2CF9AE}" pid="34" name="_ReviewingToolsShownOnce">
    <vt:lpwstr/>
  </property>
  <property fmtid="{D5CDD505-2E9C-101B-9397-08002B2CF9AE}" pid="35" name="Involved Party">
    <vt:lpwstr/>
  </property>
  <property fmtid="{D5CDD505-2E9C-101B-9397-08002B2CF9AE}" pid="36" name="lf7ec453acb346f5b4feea7d032d6f2c">
    <vt:lpwstr/>
  </property>
  <property fmtid="{D5CDD505-2E9C-101B-9397-08002B2CF9AE}" pid="37" name="Document Topic">
    <vt:lpwstr/>
  </property>
  <property fmtid="{D5CDD505-2E9C-101B-9397-08002B2CF9AE}" pid="38" name="obb4efe42ba0440ebcc21f478af52bc7">
    <vt:lpwstr/>
  </property>
  <property fmtid="{D5CDD505-2E9C-101B-9397-08002B2CF9AE}" pid="39" name="m4764fd034b84a6e893e168ee26c887c">
    <vt:lpwstr/>
  </property>
  <property fmtid="{D5CDD505-2E9C-101B-9397-08002B2CF9AE}" pid="40" name="Document Type">
    <vt:lpwstr/>
  </property>
</Properties>
</file>